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60"/>
        <w:jc w:val="center"/>
      </w:pPr>
      <w:r>
        <w:rPr>
          <w:rFonts w:ascii="Arial" w:cs="Arial" w:eastAsia="Arial" w:hAnsi="Arial"/>
          <w:b/>
          <w:bCs/>
          <w:caps/>
          <w:color w:val="8A9A5B"/>
          <w:sz w:val="18"/>
          <w:szCs w:val="18"/>
        </w:rPr>
        <w:t xml:space="preserve">NOT YET ZERO  •  GROUND LEVEL</w:t>
      </w:r>
    </w:p>
    <w:p>
      <w:pPr>
        <w:pBdr>
          <w:bottom w:val="single" w:color="8A9A5B" w:sz="6" w:space="1"/>
        </w:pBdr>
        <w:spacing w:after="120" w:before="120"/>
      </w:pPr>
      <w:r>
        <w:t xml:space="preserve"/>
      </w:r>
    </w:p>
    <w:p>
      <w:pPr>
        <w:spacing w:after="60" w:before="120"/>
        <w:jc w:val="center"/>
      </w:pPr>
      <w:r>
        <w:rPr>
          <w:rFonts w:ascii="Arial" w:cs="Arial" w:eastAsia="Arial" w:hAnsi="Arial"/>
          <w:b/>
          <w:bCs/>
          <w:color w:val="3B4A20"/>
          <w:sz w:val="48"/>
          <w:szCs w:val="48"/>
        </w:rPr>
        <w:t xml:space="preserve">One Small Step</w:t>
      </w:r>
    </w:p>
    <w:p>
      <w:pPr>
        <w:spacing w:after="80" w:before="20"/>
        <w:jc w:val="center"/>
      </w:pPr>
      <w:r>
        <w:rPr>
          <w:rFonts w:ascii="Arial" w:cs="Arial" w:eastAsia="Arial" w:hAnsi="Arial"/>
          <w:i/>
          <w:iCs/>
          <w:color w:val="6B7A45"/>
          <w:sz w:val="22"/>
          <w:szCs w:val="22"/>
        </w:rPr>
        <w:t xml:space="preserve">A climate assembly about walking to school  •  KS2 Years 5-6  •  25 minutes</w:t>
      </w:r>
    </w:p>
    <w:p>
      <w:pPr>
        <w:pBdr>
          <w:bottom w:val="single" w:color="8A9A5B" w:sz="6" w:space="1"/>
        </w:pBdr>
        <w:spacing w:after="120" w:before="120"/>
      </w:pPr>
      <w:r>
        <w:t xml:space="preserve"/>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c>
          <w:tcPr>
            <w:tcW w:type="dxa" w:w="4400"/>
            <w:tcBorders>
              <w:top w:val="none" w:color="FFFFFF" w:sz="0"/>
              <w:left w:val="none" w:color="FFFFFF" w:sz="0"/>
              <w:bottom w:val="none" w:color="FFFFFF" w:sz="0"/>
              <w:right w:val="none" w:color="FFFFFF" w:sz="0"/>
            </w:tcBorders>
            <w:tcMar>
              <w:top w:type="dxa" w:w="80"/>
              <w:left w:type="dxa" w:w="0"/>
              <w:bottom w:type="dxa" w:w="80"/>
              <w:right w:type="dxa" w:w="200"/>
            </w:tcMar>
          </w:tcPr>
          <w:p>
            <w:pPr>
              <w:spacing w:after="60" w:before="0"/>
            </w:pPr>
            <w:r>
              <w:rPr>
                <w:rFonts w:ascii="Arial" w:cs="Arial" w:eastAsia="Arial" w:hAnsi="Arial"/>
                <w:b/>
                <w:bCs/>
                <w:color w:val="3B4A20"/>
                <w:sz w:val="22"/>
                <w:szCs w:val="22"/>
              </w:rPr>
              <w:t xml:space="preserve">Cast</w:t>
            </w:r>
          </w:p>
          <w:p>
            <w:pPr>
              <w:pStyle w:val="ListParagraph"/>
              <w:numPr>
                <w:ilvl w:val="0"/>
                <w:numId w:val="2"/>
              </w:numPr>
              <w:spacing w:after="30" w:before="30"/>
            </w:pPr>
            <w:r>
              <w:rPr>
                <w:rFonts w:ascii="Arial" w:cs="Arial" w:eastAsia="Arial" w:hAnsi="Arial"/>
                <w:sz w:val="20"/>
                <w:szCs w:val="20"/>
              </w:rPr>
              <w:t xml:space="preserve">Narrator</w:t>
            </w:r>
          </w:p>
          <w:p>
            <w:pPr>
              <w:pStyle w:val="ListParagraph"/>
              <w:numPr>
                <w:ilvl w:val="0"/>
                <w:numId w:val="2"/>
              </w:numPr>
              <w:spacing w:after="30" w:before="30"/>
            </w:pPr>
            <w:r>
              <w:rPr>
                <w:rFonts w:ascii="Arial" w:cs="Arial" w:eastAsia="Arial" w:hAnsi="Arial"/>
                <w:sz w:val="20"/>
                <w:szCs w:val="20"/>
              </w:rPr>
              <w:t xml:space="preserve">Mia (in the car)</w:t>
            </w:r>
          </w:p>
          <w:p>
            <w:pPr>
              <w:pStyle w:val="ListParagraph"/>
              <w:numPr>
                <w:ilvl w:val="0"/>
                <w:numId w:val="2"/>
              </w:numPr>
              <w:spacing w:after="30" w:before="30"/>
            </w:pPr>
            <w:r>
              <w:rPr>
                <w:rFonts w:ascii="Arial" w:cs="Arial" w:eastAsia="Arial" w:hAnsi="Arial"/>
                <w:sz w:val="20"/>
                <w:szCs w:val="20"/>
              </w:rPr>
              <w:t xml:space="preserve">Mia’s Parent</w:t>
            </w:r>
          </w:p>
          <w:p>
            <w:pPr>
              <w:pStyle w:val="ListParagraph"/>
              <w:numPr>
                <w:ilvl w:val="0"/>
                <w:numId w:val="2"/>
              </w:numPr>
              <w:spacing w:after="30" w:before="30"/>
            </w:pPr>
            <w:r>
              <w:rPr>
                <w:rFonts w:ascii="Arial" w:cs="Arial" w:eastAsia="Arial" w:hAnsi="Arial"/>
                <w:sz w:val="20"/>
                <w:szCs w:val="20"/>
              </w:rPr>
              <w:t xml:space="preserve">Jake (walking)</w:t>
            </w:r>
          </w:p>
          <w:p>
            <w:pPr>
              <w:pStyle w:val="ListParagraph"/>
              <w:numPr>
                <w:ilvl w:val="0"/>
                <w:numId w:val="2"/>
              </w:numPr>
              <w:spacing w:after="30" w:before="30"/>
            </w:pPr>
            <w:r>
              <w:rPr>
                <w:rFonts w:ascii="Arial" w:cs="Arial" w:eastAsia="Arial" w:hAnsi="Arial"/>
                <w:sz w:val="20"/>
                <w:szCs w:val="20"/>
              </w:rPr>
              <w:t xml:space="preserve">Jake’s Parent</w:t>
            </w:r>
          </w:p>
          <w:p>
            <w:pPr>
              <w:pStyle w:val="ListParagraph"/>
              <w:numPr>
                <w:ilvl w:val="0"/>
                <w:numId w:val="2"/>
              </w:numPr>
              <w:spacing w:after="30" w:before="30"/>
            </w:pPr>
            <w:r>
              <w:rPr>
                <w:rFonts w:ascii="Arial" w:cs="Arial" w:eastAsia="Arial" w:hAnsi="Arial"/>
                <w:sz w:val="20"/>
                <w:szCs w:val="20"/>
              </w:rPr>
              <w:t xml:space="preserve">Priya (Jake’s friend)</w:t>
            </w:r>
          </w:p>
          <w:p>
            <w:pPr>
              <w:pStyle w:val="ListParagraph"/>
              <w:numPr>
                <w:ilvl w:val="0"/>
                <w:numId w:val="2"/>
              </w:numPr>
              <w:spacing w:after="30" w:before="30"/>
            </w:pPr>
            <w:r>
              <w:rPr>
                <w:rFonts w:ascii="Arial" w:cs="Arial" w:eastAsia="Arial" w:hAnsi="Arial"/>
                <w:sz w:val="20"/>
                <w:szCs w:val="20"/>
              </w:rPr>
              <w:t xml:space="preserve">Teacher at the gate</w:t>
            </w:r>
          </w:p>
          <w:p>
            <w:pPr>
              <w:spacing w:after="80" w:before="80"/>
            </w:pPr>
            <w:r>
              <w:t xml:space="preserve"/>
            </w:r>
          </w:p>
          <w:p>
            <w:pPr>
              <w:spacing w:after="40" w:before="40"/>
            </w:pPr>
            <w:r>
              <w:rPr>
                <w:rFonts w:ascii="Arial" w:cs="Arial" w:eastAsia="Arial" w:hAnsi="Arial"/>
                <w:b/>
                <w:bCs/>
                <w:color w:val="3B4A20"/>
                <w:sz w:val="22"/>
                <w:szCs w:val="22"/>
              </w:rPr>
              <w:t xml:space="preserve">Props (all optional)</w:t>
            </w:r>
          </w:p>
          <w:p>
            <w:pPr>
              <w:pStyle w:val="ListParagraph"/>
              <w:numPr>
                <w:ilvl w:val="0"/>
                <w:numId w:val="2"/>
              </w:numPr>
              <w:spacing w:after="30" w:before="30"/>
            </w:pPr>
            <w:r>
              <w:rPr>
                <w:rFonts w:ascii="Arial" w:cs="Arial" w:eastAsia="Arial" w:hAnsi="Arial"/>
                <w:sz w:val="20"/>
                <w:szCs w:val="20"/>
              </w:rPr>
              <w:t xml:space="preserve">Cardboard steering wheel or two chairs as a car</w:t>
            </w:r>
          </w:p>
          <w:p>
            <w:pPr>
              <w:pStyle w:val="ListParagraph"/>
              <w:numPr>
                <w:ilvl w:val="0"/>
                <w:numId w:val="2"/>
              </w:numPr>
              <w:spacing w:after="30" w:before="30"/>
            </w:pPr>
            <w:r>
              <w:rPr>
                <w:rFonts w:ascii="Arial" w:cs="Arial" w:eastAsia="Arial" w:hAnsi="Arial"/>
                <w:sz w:val="20"/>
                <w:szCs w:val="20"/>
              </w:rPr>
              <w:t xml:space="preserve">School bags for Jake and Priya</w:t>
            </w:r>
          </w:p>
          <w:p>
            <w:pPr>
              <w:pStyle w:val="ListParagraph"/>
              <w:numPr>
                <w:ilvl w:val="0"/>
                <w:numId w:val="2"/>
              </w:numPr>
              <w:spacing w:after="30" w:before="30"/>
            </w:pPr>
            <w:r>
              <w:rPr>
                <w:rFonts w:ascii="Arial" w:cs="Arial" w:eastAsia="Arial" w:hAnsi="Arial"/>
                <w:sz w:val="20"/>
                <w:szCs w:val="20"/>
              </w:rPr>
              <w:t xml:space="preserve">SCHOOL GATE sign on a stick</w:t>
            </w:r>
          </w:p>
          <w:p>
            <w:pPr>
              <w:pStyle w:val="ListParagraph"/>
              <w:numPr>
                <w:ilvl w:val="0"/>
                <w:numId w:val="2"/>
              </w:numPr>
              <w:spacing w:after="30" w:before="30"/>
            </w:pPr>
            <w:r>
              <w:rPr>
                <w:rFonts w:ascii="Arial" w:cs="Arial" w:eastAsia="Arial" w:hAnsi="Arial"/>
                <w:sz w:val="20"/>
                <w:szCs w:val="20"/>
              </w:rPr>
              <w:t xml:space="preserve">Phone or watch for Mia’s Parent</w:t>
            </w:r>
          </w:p>
        </w:tc>
        <w:tc>
          <w:tcPr>
            <w:tcW w:type="dxa" w:w="4626"/>
            <w:tcBorders>
              <w:top w:val="none" w:color="FFFFFF" w:sz="0"/>
              <w:left w:val="none" w:color="FFFFFF" w:sz="0"/>
              <w:bottom w:val="none" w:color="FFFFFF" w:sz="0"/>
              <w:right w:val="none" w:color="FFFFFF" w:sz="0"/>
            </w:tcBorders>
            <w:tcMar>
              <w:top w:type="dxa" w:w="80"/>
              <w:left w:type="dxa" w:w="200"/>
              <w:bottom w:type="dxa" w:w="80"/>
              <w:right w:type="dxa" w:w="0"/>
            </w:tcMar>
          </w:tcPr>
          <w:p>
            <w:pPr>
              <w:spacing w:after="60" w:before="0"/>
            </w:pPr>
            <w:r>
              <w:rPr>
                <w:rFonts w:ascii="Arial" w:cs="Arial" w:eastAsia="Arial" w:hAnsi="Arial"/>
                <w:b/>
                <w:bCs/>
                <w:color w:val="3B4A20"/>
                <w:sz w:val="22"/>
                <w:szCs w:val="22"/>
              </w:rPr>
              <w:t xml:space="preserve">Teacher overview</w:t>
            </w:r>
          </w:p>
          <w:tbl>
            <w:tblPr>
              <w:tblW w:type="dxa" w:w="4426"/>
              <w:tblBorders>
                <w:top w:val="single" w:color="auto" w:sz="4"/>
                <w:left w:val="single" w:color="auto" w:sz="4"/>
                <w:bottom w:val="single" w:color="auto" w:sz="4"/>
                <w:right w:val="single" w:color="auto" w:sz="4"/>
                <w:insideH w:val="single" w:color="auto" w:sz="4"/>
                <w:insideV w:val="single" w:color="auto" w:sz="4"/>
              </w:tblBorders>
            </w:tblPr>
            <w:tblGrid>
              <w:gridCol w:w="1400"/>
              <w:gridCol w:w="700"/>
              <w:gridCol w:w="2326"/>
            </w:tblGrid>
            <w:tr>
              <w:tc>
                <w:tcPr>
                  <w:tcW w:type="dxa" w:w="1400"/>
                  <w:tcBorders>
                    <w:top w:val="single" w:color="CCCCCC" w:sz="1"/>
                    <w:left w:val="single" w:color="CCCCCC" w:sz="1"/>
                    <w:bottom w:val="single" w:color="CCCCCC" w:sz="1"/>
                    <w:right w:val="single" w:color="CCCCCC" w:sz="1"/>
                  </w:tcBorders>
                  <w:shd w:fill="3B4A20" w:val="clear"/>
                  <w:tcMar>
                    <w:top w:type="dxa" w:w="80"/>
                    <w:left w:type="dxa" w:w="100"/>
                    <w:bottom w:type="dxa" w:w="80"/>
                    <w:right w:type="dxa" w:w="100"/>
                  </w:tcMar>
                </w:tcPr>
                <w:p>
                  <w:r>
                    <w:rPr>
                      <w:rFonts w:ascii="Arial" w:cs="Arial" w:eastAsia="Arial" w:hAnsi="Arial"/>
                      <w:b/>
                      <w:bCs/>
                      <w:color w:val="FFFFFF"/>
                      <w:sz w:val="18"/>
                      <w:szCs w:val="18"/>
                    </w:rPr>
                    <w:t xml:space="preserve">Section</w:t>
                  </w:r>
                </w:p>
              </w:tc>
              <w:tc>
                <w:tcPr>
                  <w:tcW w:type="dxa" w:w="700"/>
                  <w:tcBorders>
                    <w:top w:val="single" w:color="CCCCCC" w:sz="1"/>
                    <w:left w:val="single" w:color="CCCCCC" w:sz="1"/>
                    <w:bottom w:val="single" w:color="CCCCCC" w:sz="1"/>
                    <w:right w:val="single" w:color="CCCCCC" w:sz="1"/>
                  </w:tcBorders>
                  <w:shd w:fill="3B4A20" w:val="clear"/>
                  <w:tcMar>
                    <w:top w:type="dxa" w:w="80"/>
                    <w:left w:type="dxa" w:w="100"/>
                    <w:bottom w:type="dxa" w:w="80"/>
                    <w:right w:type="dxa" w:w="100"/>
                  </w:tcMar>
                </w:tcPr>
                <w:p>
                  <w:r>
                    <w:rPr>
                      <w:rFonts w:ascii="Arial" w:cs="Arial" w:eastAsia="Arial" w:hAnsi="Arial"/>
                      <w:b/>
                      <w:bCs/>
                      <w:color w:val="FFFFFF"/>
                      <w:sz w:val="18"/>
                      <w:szCs w:val="18"/>
                    </w:rPr>
                    <w:t xml:space="preserve">Time</w:t>
                  </w:r>
                </w:p>
              </w:tc>
              <w:tc>
                <w:tcPr>
                  <w:tcW w:type="dxa" w:w="2326"/>
                  <w:tcBorders>
                    <w:top w:val="single" w:color="CCCCCC" w:sz="1"/>
                    <w:left w:val="single" w:color="CCCCCC" w:sz="1"/>
                    <w:bottom w:val="single" w:color="CCCCCC" w:sz="1"/>
                    <w:right w:val="single" w:color="CCCCCC" w:sz="1"/>
                  </w:tcBorders>
                  <w:shd w:fill="3B4A20" w:val="clear"/>
                  <w:tcMar>
                    <w:top w:type="dxa" w:w="80"/>
                    <w:left w:type="dxa" w:w="100"/>
                    <w:bottom w:type="dxa" w:w="80"/>
                    <w:right w:type="dxa" w:w="100"/>
                  </w:tcMar>
                </w:tcPr>
                <w:p>
                  <w:r>
                    <w:rPr>
                      <w:rFonts w:ascii="Arial" w:cs="Arial" w:eastAsia="Arial" w:hAnsi="Arial"/>
                      <w:b/>
                      <w:bCs/>
                      <w:color w:val="FFFFFF"/>
                      <w:sz w:val="18"/>
                      <w:szCs w:val="18"/>
                    </w:rPr>
                    <w:t xml:space="preserve">Focus</w:t>
                  </w:r>
                </w:p>
              </w:tc>
            </w:tr>
            <w:tr>
              <w:tc>
                <w:tcPr>
                  <w:tcW w:type="dxa" w:w="14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Cast briefing</w:t>
                  </w:r>
                </w:p>
              </w:tc>
              <w:tc>
                <w:tcPr>
                  <w:tcW w:type="dxa" w:w="7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Before</w:t>
                  </w:r>
                </w:p>
              </w:tc>
              <w:tc>
                <w:tcPr>
                  <w:tcW w:type="dxa" w:w="2326"/>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Roles, props, stage directions</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Scene 1: In the Car</w:t>
                  </w:r>
                </w:p>
              </w:tc>
              <w:tc>
                <w:tcPr>
                  <w:tcW w:type="dxa" w:w="7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6 mins</w:t>
                  </w:r>
                </w:p>
              </w:tc>
              <w:tc>
                <w:tcPr>
                  <w:tcW w:type="dxa" w:w="2326"/>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Establishing the habit</w:t>
                  </w:r>
                </w:p>
              </w:tc>
            </w:tr>
            <w:tr>
              <w:tc>
                <w:tcPr>
                  <w:tcW w:type="dxa" w:w="14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Scene 2: The Walk</w:t>
                  </w:r>
                </w:p>
              </w:tc>
              <w:tc>
                <w:tcPr>
                  <w:tcW w:type="dxa" w:w="7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9 mins</w:t>
                  </w:r>
                </w:p>
              </w:tc>
              <w:tc>
                <w:tcPr>
                  <w:tcW w:type="dxa" w:w="2326"/>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Social, fitness, cost, CO2</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Scene 3: The Gate</w:t>
                  </w:r>
                </w:p>
              </w:tc>
              <w:tc>
                <w:tcPr>
                  <w:tcW w:type="dxa" w:w="700"/>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5 mins</w:t>
                  </w:r>
                </w:p>
              </w:tc>
              <w:tc>
                <w:tcPr>
                  <w:tcW w:type="dxa" w:w="2326"/>
                  <w:tcBorders>
                    <w:top w:val="single" w:color="CCCCCC" w:sz="1"/>
                    <w:left w:val="single" w:color="CCCCCC" w:sz="1"/>
                    <w:bottom w:val="single" w:color="CCCCCC" w:sz="1"/>
                    <w:right w:val="single" w:color="CCCCCC" w:sz="1"/>
                  </w:tcBorders>
                  <w:shd w:fill="FFFFFF" w:val="clear"/>
                  <w:tcMar>
                    <w:top w:type="dxa" w:w="60"/>
                    <w:left w:type="dxa" w:w="100"/>
                    <w:bottom w:type="dxa" w:w="60"/>
                    <w:right w:type="dxa" w:w="100"/>
                  </w:tcMar>
                </w:tcPr>
                <w:p>
                  <w:r>
                    <w:rPr>
                      <w:rFonts w:ascii="Arial" w:cs="Arial" w:eastAsia="Arial" w:hAnsi="Arial"/>
                      <w:sz w:val="18"/>
                      <w:szCs w:val="18"/>
                    </w:rPr>
                    <w:t xml:space="preserve">Ripple effects; Mia’s shift</w:t>
                  </w:r>
                </w:p>
              </w:tc>
            </w:tr>
            <w:tr>
              <w:tc>
                <w:tcPr>
                  <w:tcW w:type="dxa" w:w="14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Closing reflection</w:t>
                  </w:r>
                </w:p>
              </w:tc>
              <w:tc>
                <w:tcPr>
                  <w:tcW w:type="dxa" w:w="700"/>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4 mins</w:t>
                  </w:r>
                </w:p>
              </w:tc>
              <w:tc>
                <w:tcPr>
                  <w:tcW w:type="dxa" w:w="2326"/>
                  <w:tcBorders>
                    <w:top w:val="single" w:color="CCCCCC" w:sz="1"/>
                    <w:left w:val="single" w:color="CCCCCC" w:sz="1"/>
                    <w:bottom w:val="single" w:color="CCCCCC" w:sz="1"/>
                    <w:right w:val="single" w:color="CCCCCC" w:sz="1"/>
                  </w:tcBorders>
                  <w:shd w:fill="EEF2E6" w:val="clear"/>
                  <w:tcMar>
                    <w:top w:type="dxa" w:w="60"/>
                    <w:left w:type="dxa" w:w="100"/>
                    <w:bottom w:type="dxa" w:w="60"/>
                    <w:right w:type="dxa" w:w="100"/>
                  </w:tcMar>
                </w:tcPr>
                <w:p>
                  <w:r>
                    <w:rPr>
                      <w:rFonts w:ascii="Arial" w:cs="Arial" w:eastAsia="Arial" w:hAnsi="Arial"/>
                      <w:sz w:val="18"/>
                      <w:szCs w:val="18"/>
                    </w:rPr>
                    <w:t xml:space="preserve">Think-pair-share</w:t>
                  </w:r>
                </w:p>
              </w:tc>
            </w:tr>
          </w:tbl>
          <w:p>
            <w:pPr>
              <w:spacing w:after="80" w:before="80"/>
            </w:pPr>
            <w:r>
              <w:t xml:space="preserve"/>
            </w:r>
          </w:p>
          <w:p>
            <w:pPr>
              <w:spacing w:after="40" w:before="40"/>
            </w:pPr>
            <w:r>
              <w:rPr>
                <w:rFonts w:ascii="Arial" w:cs="Arial" w:eastAsia="Arial" w:hAnsi="Arial"/>
                <w:b/>
                <w:bCs/>
                <w:color w:val="3B4A20"/>
                <w:sz w:val="22"/>
                <w:szCs w:val="22"/>
              </w:rPr>
              <w:t xml:space="preserve">Key facilitation notes</w:t>
            </w:r>
          </w:p>
          <w:p>
            <w:pPr>
              <w:pStyle w:val="ListParagraph"/>
              <w:numPr>
                <w:ilvl w:val="0"/>
                <w:numId w:val="2"/>
              </w:numPr>
              <w:spacing w:after="30" w:before="30"/>
            </w:pPr>
            <w:r>
              <w:rPr>
                <w:rFonts w:ascii="Arial" w:cs="Arial" w:eastAsia="Arial" w:hAnsi="Arial"/>
                <w:sz w:val="20"/>
                <w:szCs w:val="20"/>
              </w:rPr>
              <w:t xml:space="preserve">No climate expertise needed - the script does the teaching.</w:t>
            </w:r>
          </w:p>
          <w:p>
            <w:pPr>
              <w:pStyle w:val="ListParagraph"/>
              <w:numPr>
                <w:ilvl w:val="0"/>
                <w:numId w:val="2"/>
              </w:numPr>
              <w:spacing w:after="30" w:before="30"/>
            </w:pPr>
            <w:r>
              <w:rPr>
                <w:rFonts w:ascii="Arial" w:cs="Arial" w:eastAsia="Arial" w:hAnsi="Arial"/>
                <w:sz w:val="20"/>
                <w:szCs w:val="20"/>
              </w:rPr>
              <w:t xml:space="preserve">Narrator speaks directly to the audience and can slow down or pause as needed.</w:t>
            </w:r>
          </w:p>
          <w:p>
            <w:pPr>
              <w:pStyle w:val="ListParagraph"/>
              <w:numPr>
                <w:ilvl w:val="0"/>
                <w:numId w:val="2"/>
              </w:numPr>
              <w:spacing w:after="30" w:before="30"/>
            </w:pPr>
            <w:r>
              <w:rPr>
                <w:rFonts w:ascii="Arial" w:cs="Arial" w:eastAsia="Arial" w:hAnsi="Arial"/>
                <w:sz w:val="20"/>
                <w:szCs w:val="20"/>
              </w:rPr>
              <w:t xml:space="preserve">When taking a show of hands (car vs walk), don’t comment in a value-laden way. Simply note what you see.</w:t>
            </w:r>
          </w:p>
          <w:p>
            <w:pPr>
              <w:pStyle w:val="ListParagraph"/>
              <w:numPr>
                <w:ilvl w:val="0"/>
                <w:numId w:val="2"/>
              </w:numPr>
              <w:spacing w:after="30" w:before="30"/>
            </w:pPr>
            <w:r>
              <w:rPr>
                <w:rFonts w:ascii="Arial" w:cs="Arial" w:eastAsia="Arial" w:hAnsi="Arial"/>
                <w:sz w:val="20"/>
                <w:szCs w:val="20"/>
              </w:rPr>
              <w:t xml:space="preserve">Mia’s change is understated by design. She doesn’t announce she’ll walk tomorrow - that’s deliberate.</w:t>
            </w:r>
          </w:p>
          <w:p>
            <w:pPr>
              <w:pStyle w:val="ListParagraph"/>
              <w:numPr>
                <w:ilvl w:val="0"/>
                <w:numId w:val="2"/>
              </w:numPr>
              <w:spacing w:after="30" w:before="30"/>
            </w:pPr>
            <w:r>
              <w:rPr>
                <w:rFonts w:ascii="Arial" w:cs="Arial" w:eastAsia="Arial" w:hAnsi="Arial"/>
                <w:sz w:val="20"/>
                <w:szCs w:val="20"/>
              </w:rPr>
              <w:t xml:space="preserve">Scene 2 includes a line acknowledging not everyone can walk. Let it land - don’t skip it.</w:t>
            </w:r>
          </w:p>
          <w:p>
            <w:pPr>
              <w:pStyle w:val="ListParagraph"/>
              <w:numPr>
                <w:ilvl w:val="0"/>
                <w:numId w:val="2"/>
              </w:numPr>
              <w:spacing w:after="30" w:before="30"/>
            </w:pPr>
            <w:r>
              <w:rPr>
                <w:rFonts w:ascii="Arial" w:cs="Arial" w:eastAsia="Arial" w:hAnsi="Arial"/>
                <w:sz w:val="20"/>
                <w:szCs w:val="20"/>
              </w:rPr>
              <w:t xml:space="preserve">Pause before the Narrator’s final “They add up.”</w:t>
            </w:r>
          </w:p>
        </w:tc>
      </w:tr>
    </w:tbl>
    <w:p>
      <w:pPr>
        <w:spacing w:after="80" w:before="80"/>
      </w:pPr>
      <w:r>
        <w:t xml:space="preserve"/>
      </w:r>
    </w:p>
    <w:p>
      <w:pPr>
        <w:spacing w:after="60" w:before="40"/>
      </w:pPr>
      <w:r>
        <w:rPr>
          <w:rFonts w:ascii="Arial" w:cs="Arial" w:eastAsia="Arial" w:hAnsi="Arial"/>
          <w:b/>
          <w:bCs/>
          <w:color w:val="3B4A20"/>
          <w:sz w:val="22"/>
          <w:szCs w:val="22"/>
        </w:rPr>
        <w:t xml:space="preserve">Curriculum links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CCCCCC" w:sz="1"/>
              <w:left w:val="single" w:color="CCCCCC" w:sz="1"/>
              <w:bottom w:val="single" w:color="CCCCCC" w:sz="1"/>
              <w:right w:val="single" w:color="CCCCCC" w:sz="1"/>
            </w:tcBorders>
            <w:shd w:fill="3B4A20" w:val="clear"/>
            <w:tcMar>
              <w:top w:type="dxa" w:w="80"/>
              <w:left w:type="dxa" w:w="120"/>
              <w:bottom w:type="dxa" w:w="80"/>
              <w:right w:type="dxa" w:w="120"/>
            </w:tcMar>
          </w:tcPr>
          <w:p>
            <w:r>
              <w:rPr>
                <w:rFonts w:ascii="Arial" w:cs="Arial" w:eastAsia="Arial" w:hAnsi="Arial"/>
                <w:b/>
                <w:bCs/>
                <w:color w:val="FFFFFF"/>
                <w:sz w:val="18"/>
                <w:szCs w:val="18"/>
              </w:rPr>
              <w:t xml:space="preserve">Subject</w:t>
            </w:r>
          </w:p>
        </w:tc>
        <w:tc>
          <w:tcPr>
            <w:tcW w:type="dxa" w:w="7026"/>
            <w:tcBorders>
              <w:top w:val="single" w:color="CCCCCC" w:sz="1"/>
              <w:left w:val="single" w:color="CCCCCC" w:sz="1"/>
              <w:bottom w:val="single" w:color="CCCCCC" w:sz="1"/>
              <w:right w:val="single" w:color="CCCCCC" w:sz="1"/>
            </w:tcBorders>
            <w:shd w:fill="3B4A20" w:val="clear"/>
            <w:tcMar>
              <w:top w:type="dxa" w:w="80"/>
              <w:left w:type="dxa" w:w="120"/>
              <w:bottom w:type="dxa" w:w="80"/>
              <w:right w:type="dxa" w:w="120"/>
            </w:tcMar>
          </w:tcPr>
          <w:p>
            <w:r>
              <w:rPr>
                <w:rFonts w:ascii="Arial" w:cs="Arial" w:eastAsia="Arial" w:hAnsi="Arial"/>
                <w:b/>
                <w:bCs/>
                <w:color w:val="FFFFFF"/>
                <w:sz w:val="18"/>
                <w:szCs w:val="18"/>
              </w:rPr>
              <w:t xml:space="preserve">Connection</w:t>
            </w:r>
          </w:p>
        </w:tc>
      </w:tr>
      <w:tr>
        <w:tc>
          <w:tcPr>
            <w:tcW w:type="dxa" w:w="2000"/>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b/>
                <w:bCs/>
                <w:color w:val="3B4A20"/>
                <w:sz w:val="18"/>
                <w:szCs w:val="18"/>
              </w:rPr>
              <w:t xml:space="preserve">Science (Y5-6)</w:t>
            </w:r>
          </w:p>
        </w:tc>
        <w:tc>
          <w:tcPr>
            <w:tcW w:type="dxa" w:w="7026"/>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sz w:val="18"/>
                <w:szCs w:val="18"/>
              </w:rPr>
              <w:t xml:space="preserve">Human impact on environments; carbon dioxide and the atmosphere</w:t>
            </w:r>
          </w:p>
        </w:tc>
      </w:tr>
      <w:tr>
        <w:tc>
          <w:tcPr>
            <w:tcW w:type="dxa" w:w="2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3B4A20"/>
                <w:sz w:val="18"/>
                <w:szCs w:val="18"/>
              </w:rPr>
              <w:t xml:space="preserve">PSHE / RSE</w:t>
            </w:r>
          </w:p>
        </w:tc>
        <w:tc>
          <w:tcPr>
            <w:tcW w:type="dxa" w:w="7026"/>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8"/>
                <w:szCs w:val="18"/>
              </w:rPr>
              <w:t xml:space="preserve">Physical health and fitness; wellbeing; community responsibility</w:t>
            </w:r>
          </w:p>
        </w:tc>
      </w:tr>
      <w:tr>
        <w:tc>
          <w:tcPr>
            <w:tcW w:type="dxa" w:w="2000"/>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b/>
                <w:bCs/>
                <w:color w:val="3B4A20"/>
                <w:sz w:val="18"/>
                <w:szCs w:val="18"/>
              </w:rPr>
              <w:t xml:space="preserve">Maths (Y5-6)</w:t>
            </w:r>
          </w:p>
        </w:tc>
        <w:tc>
          <w:tcPr>
            <w:tcW w:type="dxa" w:w="7026"/>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sz w:val="18"/>
                <w:szCs w:val="18"/>
              </w:rPr>
              <w:t xml:space="preserve">Real-world data: costs, distances, steps, annual totals</w:t>
            </w:r>
          </w:p>
        </w:tc>
      </w:tr>
      <w:tr>
        <w:tc>
          <w:tcPr>
            <w:tcW w:type="dxa" w:w="2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3B4A20"/>
                <w:sz w:val="18"/>
                <w:szCs w:val="18"/>
              </w:rPr>
              <w:t xml:space="preserve">Geography</w:t>
            </w:r>
          </w:p>
        </w:tc>
        <w:tc>
          <w:tcPr>
            <w:tcW w:type="dxa" w:w="7026"/>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8"/>
                <w:szCs w:val="18"/>
              </w:rPr>
              <w:t xml:space="preserve">Transport, land use, environmental impact, local community</w:t>
            </w:r>
          </w:p>
        </w:tc>
      </w:tr>
      <w:tr>
        <w:tc>
          <w:tcPr>
            <w:tcW w:type="dxa" w:w="2000"/>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b/>
                <w:bCs/>
                <w:color w:val="3B4A20"/>
                <w:sz w:val="18"/>
                <w:szCs w:val="18"/>
              </w:rPr>
              <w:t xml:space="preserve">SMSC</w:t>
            </w:r>
          </w:p>
        </w:tc>
        <w:tc>
          <w:tcPr>
            <w:tcW w:type="dxa" w:w="7026"/>
            <w:tcBorders>
              <w:top w:val="single" w:color="CCCCCC" w:sz="1"/>
              <w:left w:val="single" w:color="CCCCCC" w:sz="1"/>
              <w:bottom w:val="single" w:color="CCCCCC" w:sz="1"/>
              <w:right w:val="single" w:color="CCCCCC" w:sz="1"/>
            </w:tcBorders>
            <w:shd w:fill="EEF2E6" w:val="clear"/>
            <w:tcMar>
              <w:top w:type="dxa" w:w="60"/>
              <w:left w:type="dxa" w:w="120"/>
              <w:bottom w:type="dxa" w:w="60"/>
              <w:right w:type="dxa" w:w="120"/>
            </w:tcMar>
          </w:tcPr>
          <w:p>
            <w:r>
              <w:rPr>
                <w:rFonts w:ascii="Arial" w:cs="Arial" w:eastAsia="Arial" w:hAnsi="Arial"/>
                <w:sz w:val="18"/>
                <w:szCs w:val="18"/>
              </w:rPr>
              <w:t xml:space="preserve">Community thinking; moral consideration of shared resources</w:t>
            </w:r>
          </w:p>
        </w:tc>
      </w:tr>
      <w:tr>
        <w:tc>
          <w:tcPr>
            <w:tcW w:type="dxa" w:w="2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b/>
                <w:bCs/>
                <w:color w:val="3B4A20"/>
                <w:sz w:val="18"/>
                <w:szCs w:val="18"/>
              </w:rPr>
              <w:t xml:space="preserve">DfE Enrichment</w:t>
            </w:r>
          </w:p>
        </w:tc>
        <w:tc>
          <w:tcPr>
            <w:tcW w:type="dxa" w:w="7026"/>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r>
              <w:rPr>
                <w:rFonts w:ascii="Arial" w:cs="Arial" w:eastAsia="Arial" w:hAnsi="Arial"/>
                <w:sz w:val="18"/>
                <w:szCs w:val="18"/>
              </w:rPr>
              <w:t xml:space="preserve">Benchmark 2 - curriculum enrichment with real-world relevance</w:t>
            </w:r>
          </w:p>
        </w:tc>
      </w:tr>
    </w:tbl>
    <w:p>
      <w:pPr>
        <w:spacing w:after="80" w:before="80"/>
      </w:pPr>
      <w:r>
        <w:t xml:space="preserve"/>
      </w:r>
    </w:p>
    <w:p>
      <w:r>
        <w:br w:type="page"/>
      </w:r>
    </w:p>
    <w:p>
      <w:pPr>
        <w:pStyle w:val="Heading1"/>
        <w:spacing w:after="120" w:before="360"/>
      </w:pPr>
      <w:r>
        <w:rPr>
          <w:rFonts w:ascii="Arial" w:cs="Arial" w:eastAsia="Arial" w:hAnsi="Arial"/>
          <w:b/>
          <w:bCs/>
          <w:color w:val="3B4A20"/>
          <w:sz w:val="36"/>
          <w:szCs w:val="36"/>
        </w:rPr>
        <w:t xml:space="preserve">Cast List &amp; Role Guidance</w:t>
      </w:r>
    </w:p>
    <w:p>
      <w:pPr>
        <w:spacing w:after="80" w:before="60"/>
      </w:pPr>
      <w:r>
        <w:rPr>
          <w:rFonts w:ascii="Arial" w:cs="Arial" w:eastAsia="Arial" w:hAnsi="Arial"/>
          <w:sz w:val="22"/>
          <w:szCs w:val="22"/>
        </w:rPr>
        <w:t xml:space="preserve">This assembly works with a cast of 7 pupils. Roles can be doubled or adapted.</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5026"/>
      </w:tblGrid>
      <w:tr>
        <w:tc>
          <w:tcPr>
            <w:tcW w:type="dxa" w:w="2200"/>
            <w:tcBorders>
              <w:top w:val="single" w:color="CCCCCC" w:sz="1"/>
              <w:left w:val="single" w:color="CCCCCC" w:sz="1"/>
              <w:bottom w:val="single" w:color="CCCCCC" w:sz="1"/>
              <w:right w:val="single" w:color="CCCCCC" w:sz="1"/>
            </w:tcBorders>
            <w:shd w:fill="3B4A20" w:val="clear"/>
            <w:tcMar>
              <w:top w:type="dxa" w:w="100"/>
              <w:left w:type="dxa" w:w="140"/>
              <w:bottom w:type="dxa" w:w="100"/>
              <w:right w:type="dxa" w:w="140"/>
            </w:tcMar>
          </w:tcPr>
          <w:p>
            <w:r>
              <w:rPr>
                <w:rFonts w:ascii="Arial" w:cs="Arial" w:eastAsia="Arial" w:hAnsi="Arial"/>
                <w:b/>
                <w:bCs/>
                <w:color w:val="FFFFFF"/>
                <w:sz w:val="22"/>
                <w:szCs w:val="22"/>
              </w:rPr>
              <w:t xml:space="preserve">Role</w:t>
            </w:r>
          </w:p>
        </w:tc>
        <w:tc>
          <w:tcPr>
            <w:tcW w:type="dxa" w:w="1800"/>
            <w:tcBorders>
              <w:top w:val="single" w:color="CCCCCC" w:sz="1"/>
              <w:left w:val="single" w:color="CCCCCC" w:sz="1"/>
              <w:bottom w:val="single" w:color="CCCCCC" w:sz="1"/>
              <w:right w:val="single" w:color="CCCCCC" w:sz="1"/>
            </w:tcBorders>
            <w:shd w:fill="3B4A20" w:val="clear"/>
            <w:tcMar>
              <w:top w:type="dxa" w:w="100"/>
              <w:left w:type="dxa" w:w="140"/>
              <w:bottom w:type="dxa" w:w="100"/>
              <w:right w:type="dxa" w:w="140"/>
            </w:tcMar>
          </w:tcPr>
          <w:p>
            <w:r>
              <w:rPr>
                <w:rFonts w:ascii="Arial" w:cs="Arial" w:eastAsia="Arial" w:hAnsi="Arial"/>
                <w:b/>
                <w:bCs/>
                <w:color w:val="FFFFFF"/>
                <w:sz w:val="22"/>
                <w:szCs w:val="22"/>
              </w:rPr>
              <w:t xml:space="preserve">Suggested Year</w:t>
            </w:r>
          </w:p>
        </w:tc>
        <w:tc>
          <w:tcPr>
            <w:tcW w:type="dxa" w:w="5026"/>
            <w:tcBorders>
              <w:top w:val="single" w:color="CCCCCC" w:sz="1"/>
              <w:left w:val="single" w:color="CCCCCC" w:sz="1"/>
              <w:bottom w:val="single" w:color="CCCCCC" w:sz="1"/>
              <w:right w:val="single" w:color="CCCCCC" w:sz="1"/>
            </w:tcBorders>
            <w:shd w:fill="3B4A20" w:val="clear"/>
            <w:tcMar>
              <w:top w:type="dxa" w:w="100"/>
              <w:left w:type="dxa" w:w="140"/>
              <w:bottom w:type="dxa" w:w="100"/>
              <w:right w:type="dxa" w:w="140"/>
            </w:tcMar>
          </w:tcPr>
          <w:p>
            <w:r>
              <w:rPr>
                <w:rFonts w:ascii="Arial" w:cs="Arial" w:eastAsia="Arial" w:hAnsi="Arial"/>
                <w:b/>
                <w:bCs/>
                <w:color w:val="FFFFFF"/>
                <w:sz w:val="22"/>
                <w:szCs w:val="22"/>
              </w:rPr>
              <w:t xml:space="preserve">Notes</w:t>
            </w:r>
          </w:p>
        </w:tc>
      </w:tr>
      <w:tr>
        <w:tc>
          <w:tcPr>
            <w:tcW w:type="dxa" w:w="22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b/>
                <w:bCs/>
                <w:color w:val="3B4A20"/>
                <w:sz w:val="22"/>
                <w:szCs w:val="22"/>
              </w:rPr>
              <w:t xml:space="preserve">Narrator</w:t>
            </w:r>
          </w:p>
        </w:tc>
        <w:tc>
          <w:tcPr>
            <w:tcW w:type="dxa" w:w="18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Y6</w:t>
            </w:r>
          </w:p>
        </w:tc>
        <w:tc>
          <w:tcPr>
            <w:tcW w:type="dxa" w:w="5026"/>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Confident reader. Sets the scene, guides transitions, speaks directly to the audience. Tone: warm, curious, not preachy.</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3B4A20"/>
                <w:sz w:val="22"/>
                <w:szCs w:val="22"/>
              </w:rPr>
              <w:t xml:space="preserve">Mia</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Y5 or Y6</w:t>
            </w:r>
          </w:p>
        </w:tc>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Central character in the car. Starts out fine with being driven; gradually notices what she’s missing. Needs to show subtle change.</w:t>
            </w:r>
          </w:p>
        </w:tc>
      </w:tr>
      <w:tr>
        <w:tc>
          <w:tcPr>
            <w:tcW w:type="dxa" w:w="22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b/>
                <w:bCs/>
                <w:color w:val="3B4A20"/>
                <w:sz w:val="22"/>
                <w:szCs w:val="22"/>
              </w:rPr>
              <w:t xml:space="preserve">Mia’s Parent</w:t>
            </w:r>
          </w:p>
        </w:tc>
        <w:tc>
          <w:tcPr>
            <w:tcW w:type="dxa" w:w="18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Y5 or Y6</w:t>
            </w:r>
          </w:p>
        </w:tc>
        <w:tc>
          <w:tcPr>
            <w:tcW w:type="dxa" w:w="5026"/>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Harassed and late. Comic timing helpful. Not a villain, just busy. One moment of reflection near the end.</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3B4A20"/>
                <w:sz w:val="22"/>
                <w:szCs w:val="22"/>
              </w:rPr>
              <w:t xml:space="preserve">Jake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Y5 or Y6</w:t>
            </w:r>
          </w:p>
        </w:tc>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Walks to school. Relaxed, happy, a bit surprised Mia hasn’t tried it. Main role in Scene 2.</w:t>
            </w:r>
          </w:p>
        </w:tc>
      </w:tr>
      <w:tr>
        <w:tc>
          <w:tcPr>
            <w:tcW w:type="dxa" w:w="22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b/>
                <w:bCs/>
                <w:color w:val="3B4A20"/>
                <w:sz w:val="22"/>
                <w:szCs w:val="22"/>
              </w:rPr>
              <w:t xml:space="preserve">Jake’s Parent</w:t>
            </w:r>
          </w:p>
        </w:tc>
        <w:tc>
          <w:tcPr>
            <w:tcW w:type="dxa" w:w="18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Y5</w:t>
            </w:r>
          </w:p>
        </w:tc>
        <w:tc>
          <w:tcPr>
            <w:tcW w:type="dxa" w:w="5026"/>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Brief role. Warm, chatty. Walks alongside Jake. Optional if you need to reduce cast.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b/>
                <w:bCs/>
                <w:color w:val="3B4A20"/>
                <w:sz w:val="22"/>
                <w:szCs w:val="22"/>
              </w:rPr>
              <w:t xml:space="preserve">Priya</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Y5 or Y6</w:t>
            </w:r>
          </w:p>
        </w:tc>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sz w:val="22"/>
                <w:szCs w:val="22"/>
              </w:rPr>
              <w:t xml:space="preserve">Jake’s friend who joins the walk. Energetic. Brings in the social/fun angle.</w:t>
            </w:r>
          </w:p>
        </w:tc>
      </w:tr>
      <w:tr>
        <w:tc>
          <w:tcPr>
            <w:tcW w:type="dxa" w:w="22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b/>
                <w:bCs/>
                <w:color w:val="3B4A20"/>
                <w:sz w:val="22"/>
                <w:szCs w:val="22"/>
              </w:rPr>
              <w:t xml:space="preserve">Teacher at the Gate</w:t>
            </w:r>
          </w:p>
        </w:tc>
        <w:tc>
          <w:tcPr>
            <w:tcW w:type="dxa" w:w="1800"/>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Y6</w:t>
            </w:r>
          </w:p>
        </w:tc>
        <w:tc>
          <w:tcPr>
            <w:tcW w:type="dxa" w:w="5026"/>
            <w:tcBorders>
              <w:top w:val="single" w:color="CCCCCC" w:sz="1"/>
              <w:left w:val="single" w:color="CCCCCC" w:sz="1"/>
              <w:bottom w:val="single" w:color="CCCCCC" w:sz="1"/>
              <w:right w:val="single" w:color="CCCCCC" w:sz="1"/>
            </w:tcBorders>
            <w:shd w:fill="EEF2E6" w:val="clear"/>
            <w:tcMar>
              <w:top w:type="dxa" w:w="80"/>
              <w:left w:type="dxa" w:w="140"/>
              <w:bottom w:type="dxa" w:w="80"/>
              <w:right w:type="dxa" w:w="140"/>
            </w:tcMar>
          </w:tcPr>
          <w:p>
            <w:r>
              <w:rPr>
                <w:rFonts w:ascii="Arial" w:cs="Arial" w:eastAsia="Arial" w:hAnsi="Arial"/>
                <w:sz w:val="22"/>
                <w:szCs w:val="22"/>
              </w:rPr>
              <w:t xml:space="preserve">Small but punchy role. Calm and observant. Delivers one of the key reflection lines.</w:t>
            </w:r>
          </w:p>
        </w:tc>
      </w:tr>
    </w:tbl>
    <w:p>
      <w:pPr>
        <w:spacing w:after="80" w:before="80"/>
      </w:pPr>
      <w:r>
        <w:t xml:space="preserve"/>
      </w:r>
    </w:p>
    <w:p>
      <w:pPr>
        <w:spacing w:after="80" w:before="200"/>
      </w:pPr>
      <w:r>
        <w:rPr>
          <w:rFonts w:ascii="Arial" w:cs="Arial" w:eastAsia="Arial" w:hAnsi="Arial"/>
          <w:b/>
          <w:bCs/>
          <w:color w:val="8A9A5B"/>
          <w:sz w:val="24"/>
          <w:szCs w:val="24"/>
        </w:rPr>
        <w:t xml:space="preserve">Props (all optional but helpful)</w:t>
      </w:r>
    </w:p>
    <w:p>
      <w:pPr>
        <w:pStyle w:val="ListParagraph"/>
        <w:numPr>
          <w:ilvl w:val="0"/>
          <w:numId w:val="2"/>
        </w:numPr>
        <w:spacing w:after="60" w:before="40"/>
      </w:pPr>
      <w:r>
        <w:rPr>
          <w:rFonts w:ascii="Arial" w:cs="Arial" w:eastAsia="Arial" w:hAnsi="Arial"/>
          <w:sz w:val="22"/>
          <w:szCs w:val="22"/>
        </w:rPr>
        <w:t xml:space="preserve">A steering wheel shape cut from cardboard (or a chair set up as a car seat)</w:t>
      </w:r>
    </w:p>
    <w:p>
      <w:pPr>
        <w:pStyle w:val="ListParagraph"/>
        <w:numPr>
          <w:ilvl w:val="0"/>
          <w:numId w:val="2"/>
        </w:numPr>
        <w:spacing w:after="60" w:before="40"/>
      </w:pPr>
      <w:r>
        <w:rPr>
          <w:rFonts w:ascii="Arial" w:cs="Arial" w:eastAsia="Arial" w:hAnsi="Arial"/>
          <w:sz w:val="22"/>
          <w:szCs w:val="22"/>
        </w:rPr>
        <w:t xml:space="preserve">Two chairs side-by-side for the ‘car’</w:t>
      </w:r>
    </w:p>
    <w:p>
      <w:pPr>
        <w:pStyle w:val="ListParagraph"/>
        <w:numPr>
          <w:ilvl w:val="0"/>
          <w:numId w:val="2"/>
        </w:numPr>
        <w:spacing w:after="60" w:before="40"/>
      </w:pPr>
      <w:r>
        <w:rPr>
          <w:rFonts w:ascii="Arial" w:cs="Arial" w:eastAsia="Arial" w:hAnsi="Arial"/>
          <w:sz w:val="22"/>
          <w:szCs w:val="22"/>
        </w:rPr>
        <w:t xml:space="preserve">A school bag / backpack each for Jake and Priya</w:t>
      </w:r>
    </w:p>
    <w:p>
      <w:pPr>
        <w:pStyle w:val="ListParagraph"/>
        <w:numPr>
          <w:ilvl w:val="0"/>
          <w:numId w:val="2"/>
        </w:numPr>
        <w:spacing w:after="60" w:before="40"/>
      </w:pPr>
      <w:r>
        <w:rPr>
          <w:rFonts w:ascii="Arial" w:cs="Arial" w:eastAsia="Arial" w:hAnsi="Arial"/>
          <w:sz w:val="22"/>
          <w:szCs w:val="22"/>
        </w:rPr>
        <w:t xml:space="preserve">A simple sign on a stick: “SCHOOL GATE” (for Scene 3)</w:t>
      </w:r>
    </w:p>
    <w:p>
      <w:pPr>
        <w:pStyle w:val="ListParagraph"/>
        <w:numPr>
          <w:ilvl w:val="0"/>
          <w:numId w:val="2"/>
        </w:numPr>
        <w:spacing w:after="60" w:before="40"/>
      </w:pPr>
      <w:r>
        <w:rPr>
          <w:rFonts w:ascii="Arial" w:cs="Arial" w:eastAsia="Arial" w:hAnsi="Arial"/>
          <w:sz w:val="22"/>
          <w:szCs w:val="22"/>
        </w:rPr>
        <w:t xml:space="preserve">A phone or watch for Mia’s Parent to check</w:t>
      </w:r>
    </w:p>
    <w:p>
      <w:pPr>
        <w:spacing w:after="80" w:before="80"/>
      </w:pPr>
      <w:r>
        <w:t xml:space="preserve"/>
      </w:r>
    </w:p>
    <w:p>
      <w:r>
        <w:br w:type="page"/>
      </w:r>
    </w:p>
    <w:p>
      <w:pPr>
        <w:pStyle w:val="Heading1"/>
        <w:spacing w:after="120" w:before="360"/>
      </w:pPr>
      <w:r>
        <w:rPr>
          <w:rFonts w:ascii="Arial" w:cs="Arial" w:eastAsia="Arial" w:hAnsi="Arial"/>
          <w:b/>
          <w:bCs/>
          <w:color w:val="3B4A20"/>
          <w:sz w:val="36"/>
          <w:szCs w:val="36"/>
        </w:rPr>
        <w:t xml:space="preserve">The Script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40" w:before="60"/>
            </w:pPr>
            <w:r>
              <w:rPr>
                <w:rFonts w:ascii="Arial" w:cs="Arial" w:eastAsia="Arial" w:hAnsi="Arial"/>
                <w:b/>
                <w:bCs/>
                <w:color w:val="3B4A20"/>
                <w:sz w:val="22"/>
                <w:szCs w:val="22"/>
              </w:rPr>
              <w:t xml:space="preserve">How to use this script</w:t>
            </w:r>
          </w:p>
          <w:p>
            <w:pPr>
              <w:spacing w:after="40" w:before="40"/>
            </w:pPr>
            <w:r>
              <w:rPr>
                <w:rFonts w:ascii="Arial" w:cs="Arial" w:eastAsia="Arial" w:hAnsi="Arial"/>
                <w:i/>
                <w:iCs/>
                <w:color w:val="6B7A45"/>
                <w:sz w:val="22"/>
                <w:szCs w:val="22"/>
              </w:rPr>
              <w:t xml:space="preserve">Stage directions are shown in [square brackets and italics]. Narrator lines are shown in bold. Audience response cues are marked with ►. Approximate timings are shown in grey.</w:t>
            </w:r>
          </w:p>
        </w:tc>
      </w:tr>
    </w:tbl>
    <w:p>
      <w:pPr>
        <w:spacing w:after="80" w:before="80"/>
      </w:pPr>
      <w:r>
        <w:t xml:space="preserve"/>
      </w:r>
    </w:p>
    <w:p>
      <w:pPr>
        <w:pStyle w:val="Heading2"/>
        <w:spacing w:after="100" w:before="280"/>
      </w:pPr>
      <w:r>
        <w:rPr>
          <w:rFonts w:ascii="Arial" w:cs="Arial" w:eastAsia="Arial" w:hAnsi="Arial"/>
          <w:b/>
          <w:bCs/>
          <w:color w:val="6B7A45"/>
          <w:sz w:val="28"/>
          <w:szCs w:val="28"/>
        </w:rPr>
        <w:t xml:space="preserve">Before the Assembly Begins</w:t>
      </w:r>
    </w:p>
    <w:p>
      <w:pPr>
        <w:spacing w:after="80" w:before="60"/>
      </w:pPr>
      <w:r>
        <w:rPr>
          <w:rFonts w:ascii="Arial" w:cs="Arial" w:eastAsia="Arial" w:hAnsi="Arial"/>
          <w:sz w:val="22"/>
          <w:szCs w:val="22"/>
        </w:rPr>
        <w:t xml:space="preserve">Arrange staging: two chairs centre-left for the ‘car’. A clear open space centre-right for the walking route. School gate sign positioned stage right.</w:t>
      </w:r>
    </w:p>
    <w:p>
      <w:pPr>
        <w:spacing w:after="80" w:before="60"/>
      </w:pPr>
      <w:r>
        <w:rPr>
          <w:rFonts w:ascii="Arial" w:cs="Arial" w:eastAsia="Arial" w:hAnsi="Arial"/>
          <w:sz w:val="22"/>
          <w:szCs w:val="22"/>
        </w:rPr>
        <w:t xml:space="preserve">Cast briefing (allow 10 minutes beforehand): remind pupils that Narrator speaks to the audience directly and can slow down or pause if needed. Mia’s journey is one of gradual realisation, not a sudden conversion.</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FDF3E3" w:val="clear"/>
            <w:tcMar>
              <w:top w:type="dxa" w:w="160"/>
              <w:left w:type="dxa" w:w="240"/>
              <w:bottom w:type="dxa" w:w="160"/>
              <w:right w:type="dxa" w:w="240"/>
            </w:tcMar>
          </w:tcPr>
          <w:p>
            <w:pPr>
              <w:spacing w:after="40" w:before="60"/>
            </w:pPr>
            <w:r>
              <w:rPr>
                <w:rFonts w:ascii="Arial" w:cs="Arial" w:eastAsia="Arial" w:hAnsi="Arial"/>
                <w:b/>
                <w:bCs/>
                <w:color w:val="3B4A20"/>
                <w:sz w:val="26"/>
                <w:szCs w:val="26"/>
              </w:rPr>
              <w:t xml:space="preserve">SCENE 1: In the Car</w:t>
            </w:r>
          </w:p>
          <w:p>
            <w:pPr>
              <w:spacing w:after="60" w:before="20"/>
            </w:pPr>
            <w:r>
              <w:rPr>
                <w:rFonts w:ascii="Arial" w:cs="Arial" w:eastAsia="Arial" w:hAnsi="Arial"/>
                <w:i/>
                <w:iCs/>
                <w:color w:val="6B7A45"/>
                <w:sz w:val="20"/>
                <w:szCs w:val="20"/>
              </w:rPr>
              <w:t xml:space="preserve">Approx. 6 minutes • Mia, Mia’s Parent, Narrator</w:t>
            </w:r>
          </w:p>
        </w:tc>
      </w:tr>
    </w:tbl>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Mia and Mia’s Parent sit in the car chairs. Mia’s Parent mimes gripping a steering wheel, checking mirror, looking stressed. Mia stares ahead, bored.]</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Every weekday morning, millions of journeys happen. To work. To the shops. To school. Most of them involve a car. This is Mia. And Mia’s mum.</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(muttering) Come on, come on... why is everyone on the road at half eight?</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We go the same time every day.</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I know that, Mia. (checks phone) Don’t touch that. (to herself) Three minutes behind already.</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The school is one kilometre away. That’s roughly the same as twelve times around the school hall. Not very far. But this is just how things are done. Isn’t it?</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Narrator pauses, looks at audience.]</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80" w:before="60"/>
            </w:pPr>
            <w:r>
              <w:rPr>
                <w:rFonts w:ascii="Arial" w:cs="Arial" w:eastAsia="Arial" w:hAnsi="Arial"/>
                <w:b/>
                <w:bCs/>
                <w:color w:val="3B4A20"/>
                <w:sz w:val="22"/>
                <w:szCs w:val="22"/>
              </w:rPr>
              <w:t xml:space="preserve">► Audience prompt: </w:t>
            </w:r>
            <w:r>
              <w:rPr>
                <w:rFonts w:ascii="Arial" w:cs="Arial" w:eastAsia="Arial" w:hAnsi="Arial"/>
                <w:color w:val="6B7A45"/>
                <w:sz w:val="22"/>
                <w:szCs w:val="22"/>
              </w:rPr>
              <w:t xml:space="preserve">Narrator says: “Hands up if you came to school by car today.” Pause. “And hands up if you walked.” Brief comment on what you see - no judgement.</w:t>
            </w:r>
          </w:p>
        </w:tc>
      </w:tr>
    </w:tbl>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(sighing) We’re going to be late again, aren’t we.</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No. Maybe. I don’t know. Stop asking.</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(looking out the window) What’s that? That’s Jake. He’s walking.</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Good for Jake.</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(watching, curious) He looks… like he’s having a conversation. With someone. And laughing.</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(distracted) Hmm.</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Mia watched Jake disappear round the corner. She didn’t say anything else. But she kept thinking about it.</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Car chairs are moved to the side. Walking space is set up centre stage.]</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FDF3E3" w:val="clear"/>
            <w:tcMar>
              <w:top w:type="dxa" w:w="160"/>
              <w:left w:type="dxa" w:w="240"/>
              <w:bottom w:type="dxa" w:w="160"/>
              <w:right w:type="dxa" w:w="240"/>
            </w:tcMar>
          </w:tcPr>
          <w:p>
            <w:pPr>
              <w:spacing w:after="40" w:before="60"/>
            </w:pPr>
            <w:r>
              <w:rPr>
                <w:rFonts w:ascii="Arial" w:cs="Arial" w:eastAsia="Arial" w:hAnsi="Arial"/>
                <w:b/>
                <w:bCs/>
                <w:color w:val="3B4A20"/>
                <w:sz w:val="26"/>
                <w:szCs w:val="26"/>
              </w:rPr>
              <w:t xml:space="preserve">SCENE 2: The Walk</w:t>
            </w:r>
          </w:p>
          <w:p>
            <w:pPr>
              <w:spacing w:after="60" w:before="20"/>
            </w:pPr>
            <w:r>
              <w:rPr>
                <w:rFonts w:ascii="Arial" w:cs="Arial" w:eastAsia="Arial" w:hAnsi="Arial"/>
                <w:i/>
                <w:iCs/>
                <w:color w:val="6B7A45"/>
                <w:sz w:val="20"/>
                <w:szCs w:val="20"/>
              </w:rPr>
              <w:t xml:space="preserve">Approx. 9 minutes • Jake, Jake’s Parent, Priya, Narrator</w:t>
            </w:r>
          </w:p>
        </w:tc>
      </w:tr>
    </w:tbl>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Jake and Jake’s Parent walk slowly across the stage, chatting. Priya runs on from one side to join them.]</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So how did the maths test go yesterday?</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Alright. I remembered the grid method. Mostly.</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Better than last time then.</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Way better.</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Priya jogs to catch up.]</w:t>
      </w:r>
    </w:p>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Jake! Wait up! (slightly out of breath) I ran from the corner. I need to get fitter.</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That’s why I walk, isn’t it. Mum said it counts as exercise.</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It does. 1,500 steps each way. I looked it up.</w:t>
      </w:r>
    </w:p>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Is that a lot?</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It’s about a quarter of what grown-ups are supposed to do in a day. And we do it twice - so that’s nearly half.</w:t>
      </w:r>
    </w:p>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So basically school is making us healthy whether we like it or not.</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(laughing) Yeah.</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Jake’s family used to drive to school. Every day. They worked out that with petrol, wear on the car, and the odd parking ticket, it was costing them around £400 a year. Just to get Jake to school and back.</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80" w:before="60"/>
            </w:pPr>
            <w:r>
              <w:rPr>
                <w:rFonts w:ascii="Arial" w:cs="Arial" w:eastAsia="Arial" w:hAnsi="Arial"/>
                <w:b/>
                <w:bCs/>
                <w:color w:val="3B4A20"/>
                <w:sz w:val="22"/>
                <w:szCs w:val="22"/>
              </w:rPr>
              <w:t xml:space="preserve">► Audience prompt: </w:t>
            </w:r>
            <w:r>
              <w:rPr>
                <w:rFonts w:ascii="Arial" w:cs="Arial" w:eastAsia="Arial" w:hAnsi="Arial"/>
                <w:color w:val="6B7A45"/>
                <w:sz w:val="22"/>
                <w:szCs w:val="22"/>
              </w:rPr>
              <w:t xml:space="preserve">Narrator says: “If you had £400 to spend - just on your family - what would you do with it? Turn and tell the person next to you. You’ve got 30 seconds.”</w:t>
            </w:r>
          </w:p>
        </w:tc>
      </w:tr>
    </w:tbl>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My dad says we can’t walk because he has to drop my little sister at the other school first.</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That’s a real reason. Not everyone can. But if some people walk who could, it helps everyone, including the ones who can’t.</w:t>
      </w:r>
    </w:p>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How?</w:t>
      </w:r>
    </w:p>
    <w:p>
      <w:pPr>
        <w:spacing w:after="80" w:before="80"/>
      </w:pPr>
      <w:r>
        <w:t xml:space="preserve"/>
      </w:r>
    </w:p>
    <w:p>
      <w:pPr>
        <w:spacing w:after="80" w:before="60"/>
      </w:pPr>
      <w:r>
        <w:rPr>
          <w:rFonts w:ascii="Arial" w:cs="Arial" w:eastAsia="Arial" w:hAnsi="Arial"/>
          <w:b/>
          <w:bCs/>
          <w:sz w:val="22"/>
          <w:szCs w:val="22"/>
        </w:rPr>
        <w:t xml:space="preserve">JAKE’S PARENT: </w:t>
      </w:r>
      <w:r>
        <w:rPr>
          <w:rFonts w:ascii="Arial" w:cs="Arial" w:eastAsia="Arial" w:hAnsi="Arial"/>
          <w:sz w:val="22"/>
          <w:szCs w:val="22"/>
        </w:rPr>
        <w:t xml:space="preserve">Fewer cars on the road. It’s easier to get through. Safer for people crossing.</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Like at the gate. It’s chaos sometimes.</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And there’s something else. Every car journey uses fuel. And fuel, when it burns, releases carbon dioxide into the air. Carbon dioxide is one of the gases that’s warming our planet. You’ve probably heard about climate change.</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Narrator pauses.]</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A one-kilometre car journey might not sound like much. But if 300 families each make that journey five days a week, for 40 school weeks a year… that adds up.</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80" w:before="60"/>
            </w:pPr>
            <w:r>
              <w:rPr>
                <w:rFonts w:ascii="Arial" w:cs="Arial" w:eastAsia="Arial" w:hAnsi="Arial"/>
                <w:b/>
                <w:bCs/>
                <w:color w:val="3B4A20"/>
                <w:sz w:val="22"/>
                <w:szCs w:val="22"/>
              </w:rPr>
              <w:t xml:space="preserve">► Audience prompt: </w:t>
            </w:r>
            <w:r>
              <w:rPr>
                <w:rFonts w:ascii="Arial" w:cs="Arial" w:eastAsia="Arial" w:hAnsi="Arial"/>
                <w:color w:val="6B7A45"/>
                <w:sz w:val="22"/>
                <w:szCs w:val="22"/>
              </w:rPr>
              <w:t xml:space="preserve">Narrator asks: “Any idea how many journeys that would be in a year? Have a guess - shout it out.” [Answer: 60,000 journeys.] “Sixty thousand short car journeys. Just to get to this school.”</w:t>
            </w:r>
          </w:p>
        </w:tc>
      </w:tr>
    </w:tbl>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School gate sign is moved into position. Teacher at the Gate takes their place.]</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FDF3E3" w:val="clear"/>
            <w:tcMar>
              <w:top w:type="dxa" w:w="160"/>
              <w:left w:type="dxa" w:w="240"/>
              <w:bottom w:type="dxa" w:w="160"/>
              <w:right w:type="dxa" w:w="240"/>
            </w:tcMar>
          </w:tcPr>
          <w:p>
            <w:pPr>
              <w:spacing w:after="40" w:before="60"/>
            </w:pPr>
            <w:r>
              <w:rPr>
                <w:rFonts w:ascii="Arial" w:cs="Arial" w:eastAsia="Arial" w:hAnsi="Arial"/>
                <w:b/>
                <w:bCs/>
                <w:color w:val="3B4A20"/>
                <w:sz w:val="26"/>
                <w:szCs w:val="26"/>
              </w:rPr>
              <w:t xml:space="preserve">SCENE 3: The Gate</w:t>
            </w:r>
          </w:p>
          <w:p>
            <w:pPr>
              <w:spacing w:after="60" w:before="20"/>
            </w:pPr>
            <w:r>
              <w:rPr>
                <w:rFonts w:ascii="Arial" w:cs="Arial" w:eastAsia="Arial" w:hAnsi="Arial"/>
                <w:i/>
                <w:iCs/>
                <w:color w:val="6B7A45"/>
                <w:sz w:val="20"/>
                <w:szCs w:val="20"/>
              </w:rPr>
              <w:t xml:space="preserve">Approx. 5 minutes • All cast, Narrator</w:t>
            </w:r>
          </w:p>
        </w:tc>
      </w:tr>
    </w:tbl>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Jake and Priya arrive at the gate. Teacher stands at the side. After a moment, Mia and Mia’s Parent arrive, slightly flustered.]</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(to Mia) Right. Go. Have a good day. Love you.</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(dryly) We were five minutes late.</w:t>
      </w:r>
    </w:p>
    <w:p>
      <w:pPr>
        <w:spacing w:after="80" w:before="80"/>
      </w:pPr>
      <w:r>
        <w:t xml:space="preserve"/>
      </w:r>
    </w:p>
    <w:p>
      <w:pPr>
        <w:spacing w:after="80" w:before="60"/>
      </w:pPr>
      <w:r>
        <w:rPr>
          <w:rFonts w:ascii="Arial" w:cs="Arial" w:eastAsia="Arial" w:hAnsi="Arial"/>
          <w:b/>
          <w:bCs/>
          <w:sz w:val="22"/>
          <w:szCs w:val="22"/>
        </w:rPr>
        <w:t xml:space="preserve">MIA’S PARENT: </w:t>
      </w:r>
      <w:r>
        <w:rPr>
          <w:rFonts w:ascii="Arial" w:cs="Arial" w:eastAsia="Arial" w:hAnsi="Arial"/>
          <w:sz w:val="22"/>
          <w:szCs w:val="22"/>
        </w:rPr>
        <w:t xml:space="preserve">Only three. (sighs) I know. I know.</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(spotting Jake) You got here before us again.</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We always do. We left later too.</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(quietly) How is that possible?</w:t>
      </w:r>
    </w:p>
    <w:p>
      <w:pPr>
        <w:spacing w:after="80" w:before="80"/>
      </w:pPr>
      <w:r>
        <w:t xml:space="preserve"/>
      </w:r>
    </w:p>
    <w:p>
      <w:pPr>
        <w:spacing w:after="80" w:before="60"/>
      </w:pPr>
      <w:r>
        <w:rPr>
          <w:rFonts w:ascii="Arial" w:cs="Arial" w:eastAsia="Arial" w:hAnsi="Arial"/>
          <w:b/>
          <w:bCs/>
          <w:sz w:val="22"/>
          <w:szCs w:val="22"/>
        </w:rPr>
        <w:t xml:space="preserve">PRIYA: </w:t>
      </w:r>
      <w:r>
        <w:rPr>
          <w:rFonts w:ascii="Arial" w:cs="Arial" w:eastAsia="Arial" w:hAnsi="Arial"/>
          <w:sz w:val="22"/>
          <w:szCs w:val="22"/>
        </w:rPr>
        <w:t xml:space="preserve">No traffic lights. No queuing.</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And no one’s stressed out.</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Brief pause. Teacher speaks from the side, quietly observant, not interrupting, more like narrating what they see.]</w:t>
      </w:r>
    </w:p>
    <w:p>
      <w:pPr>
        <w:spacing w:after="80" w:before="80"/>
      </w:pPr>
      <w:r>
        <w:t xml:space="preserve"/>
      </w:r>
    </w:p>
    <w:p>
      <w:pPr>
        <w:spacing w:after="80" w:before="60"/>
      </w:pPr>
      <w:r>
        <w:rPr>
          <w:rFonts w:ascii="Arial" w:cs="Arial" w:eastAsia="Arial" w:hAnsi="Arial"/>
          <w:b/>
          <w:bCs/>
          <w:sz w:val="22"/>
          <w:szCs w:val="22"/>
        </w:rPr>
        <w:t xml:space="preserve">TEACHER: </w:t>
      </w:r>
      <w:r>
        <w:rPr>
          <w:rFonts w:ascii="Arial" w:cs="Arial" w:eastAsia="Arial" w:hAnsi="Arial"/>
          <w:sz w:val="22"/>
          <w:szCs w:val="22"/>
        </w:rPr>
        <w:t xml:space="preserve">You know, when I stand here in the morning, I can tell who walked. They come in talking. Laughing. Already awake. The ones from cars sometimes come in still half asleep, already grumpy before the day’s started.</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(to Jake) Does your mum mind? Walking, I mean.</w:t>
      </w:r>
    </w:p>
    <w:p>
      <w:pPr>
        <w:spacing w:after="80" w:before="80"/>
      </w:pPr>
      <w:r>
        <w:t xml:space="preserve"/>
      </w:r>
    </w:p>
    <w:p>
      <w:pPr>
        <w:spacing w:after="80" w:before="60"/>
      </w:pPr>
      <w:r>
        <w:rPr>
          <w:rFonts w:ascii="Arial" w:cs="Arial" w:eastAsia="Arial" w:hAnsi="Arial"/>
          <w:b/>
          <w:bCs/>
          <w:sz w:val="22"/>
          <w:szCs w:val="22"/>
        </w:rPr>
        <w:t xml:space="preserve">JAKE: </w:t>
      </w:r>
      <w:r>
        <w:rPr>
          <w:rFonts w:ascii="Arial" w:cs="Arial" w:eastAsia="Arial" w:hAnsi="Arial"/>
          <w:sz w:val="22"/>
          <w:szCs w:val="22"/>
        </w:rPr>
        <w:t xml:space="preserve">She likes it. Says it’s the only time she gets to talk to me properly. In the car she was always just… stressed.</w:t>
      </w:r>
    </w:p>
    <w:p>
      <w:pPr>
        <w:spacing w:after="80" w:before="80"/>
      </w:pPr>
      <w:r>
        <w:t xml:space="preserve"/>
      </w:r>
    </w:p>
    <w:p>
      <w:pPr>
        <w:spacing w:after="80" w:before="60"/>
      </w:pPr>
      <w:r>
        <w:rPr>
          <w:rFonts w:ascii="Arial" w:cs="Arial" w:eastAsia="Arial" w:hAnsi="Arial"/>
          <w:b/>
          <w:bCs/>
          <w:sz w:val="22"/>
          <w:szCs w:val="22"/>
        </w:rPr>
        <w:t xml:space="preserve">MIA: </w:t>
      </w:r>
      <w:r>
        <w:rPr>
          <w:rFonts w:ascii="Arial" w:cs="Arial" w:eastAsia="Arial" w:hAnsi="Arial"/>
          <w:sz w:val="22"/>
          <w:szCs w:val="22"/>
        </w:rPr>
        <w:t xml:space="preserve">(pause, then:) Hm.</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Mia didn’t say she was going to walk tomorrow. She didn’t make any promises. But she thought about it all morning. In fact, she’s still thinking about it now.</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Narrator turns to face the audience.]</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One walk to school doesn’t fix climate change. Nobody’s saying it does. But here’s the thing about small changes: they’re real. They happen in your actual life. And when lots of people make them at the same time…</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Pause.]</w:t>
      </w:r>
    </w:p>
    <w:p>
      <w:pPr>
        <w:spacing w:after="80" w:before="80"/>
      </w:pPr>
      <w:r>
        <w:t xml:space="preserve"/>
      </w:r>
    </w:p>
    <w:p>
      <w:pPr>
        <w:spacing w:after="80" w:before="60"/>
      </w:pPr>
      <w:r>
        <w:rPr>
          <w:rFonts w:ascii="Arial" w:cs="Arial" w:eastAsia="Arial" w:hAnsi="Arial"/>
          <w:b/>
          <w:bCs/>
          <w:sz w:val="22"/>
          <w:szCs w:val="22"/>
        </w:rPr>
        <w:t xml:space="preserve">NARRATOR: </w:t>
      </w:r>
      <w:r>
        <w:rPr>
          <w:rFonts w:ascii="Arial" w:cs="Arial" w:eastAsia="Arial" w:hAnsi="Arial"/>
          <w:sz w:val="22"/>
          <w:szCs w:val="22"/>
        </w:rPr>
        <w:t xml:space="preserve">They add up.</w:t>
      </w:r>
    </w:p>
    <w:p>
      <w:pPr>
        <w:spacing w:after="80" w:before="80"/>
      </w:pPr>
      <w:r>
        <w:t xml:space="preserve"/>
      </w:r>
    </w:p>
    <w:p>
      <w:pPr>
        <w:spacing w:after="80" w:before="60"/>
      </w:pPr>
      <w:r>
        <w:rPr>
          <w:rFonts w:ascii="Arial" w:cs="Arial" w:eastAsia="Arial" w:hAnsi="Arial"/>
          <w:i/>
          <w:iCs/>
          <w:sz w:val="22"/>
          <w:szCs w:val="22"/>
        </w:rPr>
        <w:t xml:space="preserve">[</w:t>
      </w:r>
      <w:r>
        <w:rPr>
          <w:rFonts w:ascii="Arial" w:cs="Arial" w:eastAsia="Arial" w:hAnsi="Arial"/>
          <w:i/>
          <w:iCs/>
          <w:sz w:val="22"/>
          <w:szCs w:val="22"/>
        </w:rPr>
        <w:t xml:space="preserve">All cast freeze in position. Narrator steps forward for the closing audience section.]</w:t>
      </w:r>
    </w:p>
    <w:p>
      <w:pPr>
        <w:spacing w:after="80" w:before="80"/>
      </w:pPr>
      <w:r>
        <w:t xml:space="preserve"/>
      </w:r>
    </w:p>
    <w:p>
      <w:pPr>
        <w:pStyle w:val="Heading2"/>
        <w:spacing w:after="100" w:before="280"/>
      </w:pPr>
      <w:r>
        <w:rPr>
          <w:rFonts w:ascii="Arial" w:cs="Arial" w:eastAsia="Arial" w:hAnsi="Arial"/>
          <w:b/>
          <w:bCs/>
          <w:color w:val="6B7A45"/>
          <w:sz w:val="28"/>
          <w:szCs w:val="28"/>
        </w:rPr>
        <w:t xml:space="preserve">Closing Reflection (Narrator-led, 3–4 minutes)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80" w:before="60"/>
            </w:pPr>
            <w:r>
              <w:rPr>
                <w:rFonts w:ascii="Arial" w:cs="Arial" w:eastAsia="Arial" w:hAnsi="Arial"/>
                <w:b/>
                <w:bCs/>
                <w:color w:val="3B4A20"/>
                <w:sz w:val="22"/>
                <w:szCs w:val="22"/>
              </w:rPr>
              <w:t xml:space="preserve">► Step 1 – Think:</w:t>
            </w:r>
            <w:r>
              <w:rPr>
                <w:rFonts w:ascii="Arial" w:cs="Arial" w:eastAsia="Arial" w:hAnsi="Arial"/>
                <w:color w:val="6B7A45"/>
                <w:sz w:val="22"/>
                <w:szCs w:val="22"/>
              </w:rPr>
              <w:t xml:space="preserve"> “Close your eyes for a moment. Think about your journey here this morning. However you got here, no judgement. Just think about it.” (5 seconds)</w:t>
            </w:r>
          </w:p>
          <w:p>
            <w:pPr>
              <w:spacing w:after="80" w:before="80"/>
            </w:pPr>
            <w:r>
              <w:t xml:space="preserve"/>
            </w:r>
          </w:p>
          <w:p>
            <w:pPr>
              <w:spacing w:after="80" w:before="60"/>
            </w:pPr>
            <w:r>
              <w:rPr>
                <w:rFonts w:ascii="Arial" w:cs="Arial" w:eastAsia="Arial" w:hAnsi="Arial"/>
                <w:b/>
                <w:bCs/>
                <w:color w:val="3B4A20"/>
                <w:sz w:val="22"/>
                <w:szCs w:val="22"/>
              </w:rPr>
              <w:t xml:space="preserve">► Step 2 – Pair:</w:t>
            </w:r>
            <w:r>
              <w:rPr>
                <w:rFonts w:ascii="Arial" w:cs="Arial" w:eastAsia="Arial" w:hAnsi="Arial"/>
                <w:color w:val="6B7A45"/>
                <w:sz w:val="22"/>
                <w:szCs w:val="22"/>
              </w:rPr>
              <w:t xml:space="preserve"> “Turn to someone near you. Tell them one thing from the assembly that surprised you, or one thing you’re going to think about. Thirty seconds.”</w:t>
            </w:r>
          </w:p>
          <w:p>
            <w:pPr>
              <w:spacing w:after="80" w:before="80"/>
            </w:pPr>
            <w:r>
              <w:t xml:space="preserve"/>
            </w:r>
          </w:p>
          <w:p>
            <w:pPr>
              <w:spacing w:after="80" w:before="60"/>
            </w:pPr>
            <w:r>
              <w:rPr>
                <w:rFonts w:ascii="Arial" w:cs="Arial" w:eastAsia="Arial" w:hAnsi="Arial"/>
                <w:b/>
                <w:bCs/>
                <w:color w:val="3B4A20"/>
                <w:sz w:val="22"/>
                <w:szCs w:val="22"/>
              </w:rPr>
              <w:t xml:space="preserve">► Step 3 – Share:</w:t>
            </w:r>
            <w:r>
              <w:rPr>
                <w:rFonts w:ascii="Arial" w:cs="Arial" w:eastAsia="Arial" w:hAnsi="Arial"/>
                <w:color w:val="6B7A45"/>
                <w:sz w:val="22"/>
                <w:szCs w:val="22"/>
              </w:rPr>
              <w:t xml:space="preserve"> Take 2–3 responses. Welcome all answers. If a pupil says “I can’t walk”, affirm that, and note that Jake’s parent made that point too.</w:t>
            </w:r>
          </w:p>
          <w:p>
            <w:pPr>
              <w:spacing w:after="80" w:before="80"/>
            </w:pPr>
            <w:r>
              <w:t xml:space="preserve"/>
            </w:r>
          </w:p>
          <w:p>
            <w:pPr>
              <w:spacing w:after="80" w:before="60"/>
            </w:pPr>
            <w:r>
              <w:rPr>
                <w:rFonts w:ascii="Arial" w:cs="Arial" w:eastAsia="Arial" w:hAnsi="Arial"/>
                <w:b/>
                <w:bCs/>
                <w:color w:val="3B4A20"/>
                <w:sz w:val="22"/>
                <w:szCs w:val="22"/>
              </w:rPr>
              <w:t xml:space="preserve">► Closing line:</w:t>
            </w:r>
            <w:r>
              <w:rPr>
                <w:rFonts w:ascii="Arial" w:cs="Arial" w:eastAsia="Arial" w:hAnsi="Arial"/>
                <w:color w:val="6B7A45"/>
                <w:sz w:val="22"/>
                <w:szCs w:val="22"/>
              </w:rPr>
              <w:t xml:space="preserve"> “We’re not asking everyone to do the same thing. We’re asking everyone to do something. Even thinking about it is a start. That’s what Not Yet Zero means: not there yet. But moving.”</w:t>
            </w:r>
          </w:p>
        </w:tc>
      </w:tr>
    </w:tbl>
    <w:p>
      <w:pPr>
        <w:spacing w:after="80" w:before="80"/>
      </w:pPr>
      <w:r>
        <w:t xml:space="preserve"/>
      </w:r>
    </w:p>
    <w:p>
      <w:r>
        <w:br w:type="page"/>
      </w:r>
    </w:p>
    <w:p>
      <w:pPr>
        <w:pStyle w:val="Heading1"/>
        <w:spacing w:after="120" w:before="360"/>
      </w:pPr>
      <w:r>
        <w:rPr>
          <w:rFonts w:ascii="Arial" w:cs="Arial" w:eastAsia="Arial" w:hAnsi="Arial"/>
          <w:b/>
          <w:bCs/>
          <w:color w:val="3B4A20"/>
          <w:sz w:val="36"/>
          <w:szCs w:val="36"/>
        </w:rPr>
        <w:t xml:space="preserve">Teacher Guide: Learning Moments</w:t>
      </w:r>
    </w:p>
    <w:p>
      <w:pPr>
        <w:spacing w:after="80" w:before="60"/>
      </w:pPr>
      <w:r>
        <w:rPr>
          <w:rFonts w:ascii="Arial" w:cs="Arial" w:eastAsia="Arial" w:hAnsi="Arial"/>
          <w:sz w:val="22"/>
          <w:szCs w:val="22"/>
        </w:rPr>
        <w:t xml:space="preserve">The assembly overview and facilitation notes are on the front page. The detail below maps what to watch for scene by scene.</w:t>
      </w:r>
    </w:p>
    <w:p>
      <w:pPr>
        <w:spacing w:after="80" w:before="80"/>
      </w:pPr>
      <w:r>
        <w:t xml:space="preserve"/>
      </w:r>
    </w:p>
    <w:p>
      <w:pPr>
        <w:spacing w:after="80" w:before="200"/>
      </w:pPr>
      <w:r>
        <w:rPr>
          <w:rFonts w:ascii="Arial" w:cs="Arial" w:eastAsia="Arial" w:hAnsi="Arial"/>
          <w:b/>
          <w:bCs/>
          <w:color w:val="8A9A5B"/>
          <w:sz w:val="24"/>
          <w:szCs w:val="24"/>
        </w:rPr>
        <w:t xml:space="preserve">Scene 1 - The car as default</w:t>
      </w:r>
    </w:p>
    <w:p>
      <w:pPr>
        <w:pStyle w:val="ListParagraph"/>
        <w:numPr>
          <w:ilvl w:val="0"/>
          <w:numId w:val="2"/>
        </w:numPr>
        <w:spacing w:after="60" w:before="40"/>
      </w:pPr>
      <w:r>
        <w:rPr>
          <w:rFonts w:ascii="Arial" w:cs="Arial" w:eastAsia="Arial" w:hAnsi="Arial"/>
          <w:sz w:val="22"/>
          <w:szCs w:val="22"/>
        </w:rPr>
        <w:t xml:space="preserve">Learning moment: The car journey is presented without judgement as ‘just how things are done’. This is intentional. Pupils are invited to recognise habits before being asked to question them.</w:t>
      </w:r>
    </w:p>
    <w:p>
      <w:pPr>
        <w:pStyle w:val="ListParagraph"/>
        <w:numPr>
          <w:ilvl w:val="0"/>
          <w:numId w:val="2"/>
        </w:numPr>
        <w:spacing w:after="60" w:before="40"/>
      </w:pPr>
      <w:r>
        <w:rPr>
          <w:rFonts w:ascii="Arial" w:cs="Arial" w:eastAsia="Arial" w:hAnsi="Arial"/>
          <w:sz w:val="22"/>
          <w:szCs w:val="22"/>
        </w:rPr>
        <w:t xml:space="preserve">Facilitation note: When Narrator asks for a show of hands (car vs walk), resist the urge to comment on the result in a value-laden way. Simply note what you see. The assembly makes the case, and you don’t have to.</w:t>
      </w:r>
    </w:p>
    <w:p>
      <w:pPr>
        <w:pStyle w:val="ListParagraph"/>
        <w:numPr>
          <w:ilvl w:val="0"/>
          <w:numId w:val="2"/>
        </w:numPr>
        <w:spacing w:after="60" w:before="40"/>
      </w:pPr>
      <w:r>
        <w:rPr>
          <w:rFonts w:ascii="Arial" w:cs="Arial" w:eastAsia="Arial" w:hAnsi="Arial"/>
          <w:sz w:val="22"/>
          <w:szCs w:val="22"/>
        </w:rPr>
        <w:t xml:space="preserve">Watch for: pupils who look slightly uncomfortable raising the ‘car’ hand. This is a sign the assembly is landing.</w:t>
      </w:r>
    </w:p>
    <w:p>
      <w:pPr>
        <w:spacing w:after="80" w:before="80"/>
      </w:pPr>
      <w:r>
        <w:t xml:space="preserve"/>
      </w:r>
    </w:p>
    <w:p>
      <w:pPr>
        <w:spacing w:after="80" w:before="200"/>
      </w:pPr>
      <w:r>
        <w:rPr>
          <w:rFonts w:ascii="Arial" w:cs="Arial" w:eastAsia="Arial" w:hAnsi="Arial"/>
          <w:b/>
          <w:bCs/>
          <w:color w:val="8A9A5B"/>
          <w:sz w:val="24"/>
          <w:szCs w:val="24"/>
        </w:rPr>
        <w:t xml:space="preserve">Scene 2 - The benefits of walking</w:t>
      </w:r>
    </w:p>
    <w:p>
      <w:pPr>
        <w:pStyle w:val="ListParagraph"/>
        <w:numPr>
          <w:ilvl w:val="0"/>
          <w:numId w:val="2"/>
        </w:numPr>
        <w:spacing w:after="60" w:before="40"/>
      </w:pPr>
      <w:r>
        <w:rPr>
          <w:rFonts w:ascii="Arial" w:cs="Arial" w:eastAsia="Arial" w:hAnsi="Arial"/>
          <w:sz w:val="22"/>
          <w:szCs w:val="22"/>
        </w:rPr>
        <w:t xml:space="preserve">Learning moment: Benefits emerge naturally through conversation, not lecture. Social (talking with Priya and parent), physical (steps/exercise), financial (£400/year saved), environmental (CO2). Pupils encounter all four angles without being told what to think.</w:t>
      </w:r>
    </w:p>
    <w:p>
      <w:pPr>
        <w:pStyle w:val="ListParagraph"/>
        <w:numPr>
          <w:ilvl w:val="0"/>
          <w:numId w:val="2"/>
        </w:numPr>
        <w:spacing w:after="60" w:before="40"/>
      </w:pPr>
      <w:r>
        <w:rPr>
          <w:rFonts w:ascii="Arial" w:cs="Arial" w:eastAsia="Arial" w:hAnsi="Arial"/>
          <w:sz w:val="22"/>
          <w:szCs w:val="22"/>
        </w:rPr>
        <w:t xml:space="preserve">Facilitation note: The £400 prompt is a strong hook for Y5/6. Let pupils genuinely respond to the “what would you spend it on” question, and the answers are always varied and interesting.</w:t>
      </w:r>
    </w:p>
    <w:p>
      <w:pPr>
        <w:pStyle w:val="ListParagraph"/>
        <w:numPr>
          <w:ilvl w:val="0"/>
          <w:numId w:val="2"/>
        </w:numPr>
        <w:spacing w:after="60" w:before="40"/>
      </w:pPr>
      <w:r>
        <w:rPr>
          <w:rFonts w:ascii="Arial" w:cs="Arial" w:eastAsia="Arial" w:hAnsi="Arial"/>
          <w:sz w:val="22"/>
          <w:szCs w:val="22"/>
        </w:rPr>
        <w:t xml:space="preserve">Watch for: the moment where Jake’s parent acknowledges that not everyone can walk (“that’s a real reason”). This is deliberate. Avoid assemblies feeling like they’re accusing children whose families have no choice. Name it.</w:t>
      </w:r>
    </w:p>
    <w:p>
      <w:pPr>
        <w:pStyle w:val="ListParagraph"/>
        <w:numPr>
          <w:ilvl w:val="0"/>
          <w:numId w:val="2"/>
        </w:numPr>
        <w:spacing w:after="60" w:before="40"/>
      </w:pPr>
      <w:r>
        <w:rPr>
          <w:rFonts w:ascii="Arial" w:cs="Arial" w:eastAsia="Arial" w:hAnsi="Arial"/>
          <w:sz w:val="22"/>
          <w:szCs w:val="22"/>
        </w:rPr>
        <w:t xml:space="preserve">The 60,000 journeys calculation: 300 families x 5 days x 40 weeks = 60,000. Walk through this on a whiteboard after if you have a follow-up session.</w:t>
      </w:r>
    </w:p>
    <w:p>
      <w:pPr>
        <w:spacing w:after="80" w:before="80"/>
      </w:pPr>
      <w:r>
        <w:t xml:space="preserve"/>
      </w:r>
    </w:p>
    <w:p>
      <w:pPr>
        <w:spacing w:after="80" w:before="200"/>
      </w:pPr>
      <w:r>
        <w:rPr>
          <w:rFonts w:ascii="Arial" w:cs="Arial" w:eastAsia="Arial" w:hAnsi="Arial"/>
          <w:b/>
          <w:bCs/>
          <w:color w:val="8A9A5B"/>
          <w:sz w:val="24"/>
          <w:szCs w:val="24"/>
        </w:rPr>
        <w:t xml:space="preserve">Scene 3 - Ripple effects and quiet change</w:t>
      </w:r>
    </w:p>
    <w:p>
      <w:pPr>
        <w:pStyle w:val="ListParagraph"/>
        <w:numPr>
          <w:ilvl w:val="0"/>
          <w:numId w:val="2"/>
        </w:numPr>
        <w:spacing w:after="60" w:before="40"/>
      </w:pPr>
      <w:r>
        <w:rPr>
          <w:rFonts w:ascii="Arial" w:cs="Arial" w:eastAsia="Arial" w:hAnsi="Arial"/>
          <w:sz w:val="22"/>
          <w:szCs w:val="22"/>
        </w:rPr>
        <w:t xml:space="preserve">Learning moment: Mia’s change is understated by design. She doesn’t announce she’ll walk tomorrow. This models the reality of behaviour change - it starts with a shift in thinking, not a dramatic declaration.</w:t>
      </w:r>
    </w:p>
    <w:p>
      <w:pPr>
        <w:pStyle w:val="ListParagraph"/>
        <w:numPr>
          <w:ilvl w:val="0"/>
          <w:numId w:val="2"/>
        </w:numPr>
        <w:spacing w:after="60" w:before="40"/>
      </w:pPr>
      <w:r>
        <w:rPr>
          <w:rFonts w:ascii="Arial" w:cs="Arial" w:eastAsia="Arial" w:hAnsi="Arial"/>
          <w:sz w:val="22"/>
          <w:szCs w:val="22"/>
        </w:rPr>
        <w:t xml:space="preserve">The Teacher’s observation (“you can tell who walked”) is the kind of thing many school staff actually notice. If your teachers agree, it’s worth mentioning this after, as it lends the scene credibility.</w:t>
      </w:r>
    </w:p>
    <w:p>
      <w:pPr>
        <w:pStyle w:val="ListParagraph"/>
        <w:numPr>
          <w:ilvl w:val="0"/>
          <w:numId w:val="2"/>
        </w:numPr>
        <w:spacing w:after="60" w:before="40"/>
      </w:pPr>
      <w:r>
        <w:rPr>
          <w:rFonts w:ascii="Arial" w:cs="Arial" w:eastAsia="Arial" w:hAnsi="Arial"/>
          <w:sz w:val="22"/>
          <w:szCs w:val="22"/>
        </w:rPr>
        <w:t xml:space="preserve">Facilitation note: Narrator’s final lines are the heart of the assembly. Consider a pause before “They add up.” Let it land.</w:t>
      </w:r>
    </w:p>
    <w:p>
      <w:pPr>
        <w:spacing w:after="80" w:before="80"/>
      </w:pPr>
      <w:r>
        <w:t xml:space="preserve"/>
      </w:r>
    </w:p>
    <w:p>
      <w:r>
        <w:br w:type="page"/>
      </w:r>
    </w:p>
    <w:p>
      <w:pPr>
        <w:pStyle w:val="Heading1"/>
        <w:spacing w:after="120" w:before="360"/>
      </w:pPr>
      <w:r>
        <w:rPr>
          <w:rFonts w:ascii="Arial" w:cs="Arial" w:eastAsia="Arial" w:hAnsi="Arial"/>
          <w:b/>
          <w:bCs/>
          <w:color w:val="3B4A20"/>
          <w:sz w:val="36"/>
          <w:szCs w:val="36"/>
        </w:rPr>
        <w:t xml:space="preserve">Extension: One Lesson to Follow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FDF3E3" w:val="clear"/>
            <w:tcMar>
              <w:top w:type="dxa" w:w="160"/>
              <w:left w:type="dxa" w:w="240"/>
              <w:bottom w:type="dxa" w:w="160"/>
              <w:right w:type="dxa" w:w="240"/>
            </w:tcMar>
          </w:tcPr>
          <w:p>
            <w:pPr>
              <w:spacing w:after="60" w:before="60"/>
            </w:pPr>
            <w:r>
              <w:rPr>
                <w:rFonts w:ascii="Arial" w:cs="Arial" w:eastAsia="Arial" w:hAnsi="Arial"/>
                <w:b/>
                <w:bCs/>
                <w:color w:val="3B4A20"/>
                <w:sz w:val="26"/>
                <w:szCs w:val="26"/>
              </w:rPr>
              <w:t xml:space="preserve">Journey Mapping: What Does Our School’s Morning Look Like?</w:t>
            </w:r>
          </w:p>
          <w:p>
            <w:pPr>
              <w:spacing w:after="60" w:before="20"/>
            </w:pPr>
            <w:r>
              <w:rPr>
                <w:rFonts w:ascii="Arial" w:cs="Arial" w:eastAsia="Arial" w:hAnsi="Arial"/>
                <w:i/>
                <w:iCs/>
                <w:color w:val="6B7A45"/>
                <w:sz w:val="20"/>
                <w:szCs w:val="20"/>
              </w:rPr>
              <w:t xml:space="preserve">1 lesson (45–60 minutes) • Y5–6 • Maths / Geography / PSHE</w:t>
            </w:r>
          </w:p>
        </w:tc>
      </w:tr>
    </w:tbl>
    <w:p>
      <w:pPr>
        <w:spacing w:after="80" w:before="80"/>
      </w:pPr>
      <w:r>
        <w:t xml:space="preserve"/>
      </w:r>
    </w:p>
    <w:p>
      <w:pPr>
        <w:pStyle w:val="Heading2"/>
        <w:spacing w:after="100" w:before="280"/>
      </w:pPr>
      <w:r>
        <w:rPr>
          <w:rFonts w:ascii="Arial" w:cs="Arial" w:eastAsia="Arial" w:hAnsi="Arial"/>
          <w:b/>
          <w:bCs/>
          <w:color w:val="6B7A45"/>
          <w:sz w:val="28"/>
          <w:szCs w:val="28"/>
        </w:rPr>
        <w:t xml:space="preserve">What Pupils Will Do</w:t>
      </w:r>
    </w:p>
    <w:p>
      <w:pPr>
        <w:spacing w:after="80" w:before="60"/>
      </w:pPr>
      <w:r>
        <w:rPr>
          <w:rFonts w:ascii="Arial" w:cs="Arial" w:eastAsia="Arial" w:hAnsi="Arial"/>
          <w:sz w:val="22"/>
          <w:szCs w:val="22"/>
        </w:rPr>
        <w:t xml:space="preserve">Pupils collect real data about how their class gets to school, turn it into a simple chart, calculate approximate costs and carbon, then decide what a realistic change might look like, and who would benefit.</w:t>
      </w:r>
    </w:p>
    <w:p>
      <w:pPr>
        <w:spacing w:after="80" w:before="80"/>
      </w:pPr>
      <w:r>
        <w:t xml:space="preserve"/>
      </w:r>
    </w:p>
    <w:p>
      <w:pPr>
        <w:pStyle w:val="Heading2"/>
        <w:spacing w:after="100" w:before="280"/>
      </w:pPr>
      <w:r>
        <w:rPr>
          <w:rFonts w:ascii="Arial" w:cs="Arial" w:eastAsia="Arial" w:hAnsi="Arial"/>
          <w:b/>
          <w:bCs/>
          <w:color w:val="6B7A45"/>
          <w:sz w:val="28"/>
          <w:szCs w:val="28"/>
        </w:rPr>
        <w:t xml:space="preserve">Session Outline</w:t>
      </w:r>
    </w:p>
    <w:p>
      <w:pPr>
        <w:spacing w:after="80" w:before="200"/>
      </w:pPr>
      <w:r>
        <w:rPr>
          <w:rFonts w:ascii="Arial" w:cs="Arial" w:eastAsia="Arial" w:hAnsi="Arial"/>
          <w:b/>
          <w:bCs/>
          <w:color w:val="8A9A5B"/>
          <w:sz w:val="24"/>
          <w:szCs w:val="24"/>
        </w:rPr>
        <w:t xml:space="preserve">Starter (5 mins): Revisit the assembly</w:t>
      </w:r>
    </w:p>
    <w:p>
      <w:pPr>
        <w:pStyle w:val="ListParagraph"/>
        <w:numPr>
          <w:ilvl w:val="0"/>
          <w:numId w:val="2"/>
        </w:numPr>
        <w:spacing w:after="60" w:before="40"/>
      </w:pPr>
      <w:r>
        <w:rPr>
          <w:rFonts w:ascii="Arial" w:cs="Arial" w:eastAsia="Arial" w:hAnsi="Arial"/>
          <w:sz w:val="22"/>
          <w:szCs w:val="22"/>
        </w:rPr>
        <w:t xml:space="preserve">Quick recall: what were the four benefits Jake’s family noticed from walking?</w:t>
      </w:r>
    </w:p>
    <w:p>
      <w:pPr>
        <w:pStyle w:val="ListParagraph"/>
        <w:numPr>
          <w:ilvl w:val="0"/>
          <w:numId w:val="2"/>
        </w:numPr>
        <w:spacing w:after="60" w:before="40"/>
      </w:pPr>
      <w:r>
        <w:rPr>
          <w:rFonts w:ascii="Arial" w:cs="Arial" w:eastAsia="Arial" w:hAnsi="Arial"/>
          <w:sz w:val="22"/>
          <w:szCs w:val="22"/>
        </w:rPr>
        <w:t xml:space="preserve">Pupils write on mini-whiteboards or call out: social, fitness, cost, environment.</w:t>
      </w:r>
    </w:p>
    <w:p>
      <w:pPr>
        <w:spacing w:after="80" w:before="80"/>
      </w:pPr>
      <w:r>
        <w:t xml:space="preserve"/>
      </w:r>
    </w:p>
    <w:p>
      <w:pPr>
        <w:spacing w:after="80" w:before="200"/>
      </w:pPr>
      <w:r>
        <w:rPr>
          <w:rFonts w:ascii="Arial" w:cs="Arial" w:eastAsia="Arial" w:hAnsi="Arial"/>
          <w:b/>
          <w:bCs/>
          <w:color w:val="8A9A5B"/>
          <w:sz w:val="24"/>
          <w:szCs w:val="24"/>
        </w:rPr>
        <w:t xml:space="preserve">Main Activity 1 - Class Survey (10 mins)</w:t>
      </w:r>
    </w:p>
    <w:p>
      <w:pPr>
        <w:pStyle w:val="ListParagraph"/>
        <w:numPr>
          <w:ilvl w:val="0"/>
          <w:numId w:val="2"/>
        </w:numPr>
        <w:spacing w:after="60" w:before="40"/>
      </w:pPr>
      <w:r>
        <w:rPr>
          <w:rFonts w:ascii="Arial" w:cs="Arial" w:eastAsia="Arial" w:hAnsi="Arial"/>
          <w:sz w:val="22"/>
          <w:szCs w:val="22"/>
        </w:rPr>
        <w:t xml:space="preserve">Pupils complete a quick anonymous show of hands (or paper slip): How did you get here today? Walk / Cycle / Car / Bus / Other</w:t>
      </w:r>
    </w:p>
    <w:p>
      <w:pPr>
        <w:pStyle w:val="ListParagraph"/>
        <w:numPr>
          <w:ilvl w:val="0"/>
          <w:numId w:val="2"/>
        </w:numPr>
        <w:spacing w:after="60" w:before="40"/>
      </w:pPr>
      <w:r>
        <w:rPr>
          <w:rFonts w:ascii="Arial" w:cs="Arial" w:eastAsia="Arial" w:hAnsi="Arial"/>
          <w:sz w:val="22"/>
          <w:szCs w:val="22"/>
        </w:rPr>
        <w:t xml:space="preserve">Class creates a tally chart together. Record on the board.</w:t>
      </w:r>
    </w:p>
    <w:p>
      <w:pPr>
        <w:pStyle w:val="ListParagraph"/>
        <w:numPr>
          <w:ilvl w:val="0"/>
          <w:numId w:val="2"/>
        </w:numPr>
        <w:spacing w:after="60" w:before="40"/>
      </w:pPr>
      <w:r>
        <w:rPr>
          <w:rFonts w:ascii="Arial" w:cs="Arial" w:eastAsia="Arial" w:hAnsi="Arial"/>
          <w:sz w:val="22"/>
          <w:szCs w:val="22"/>
        </w:rPr>
        <w:t xml:space="preserve">Y6 extension: calculate percentages. What fraction of the class came by car?</w:t>
      </w:r>
    </w:p>
    <w:p>
      <w:pPr>
        <w:spacing w:after="80" w:before="80"/>
      </w:pPr>
      <w:r>
        <w:t xml:space="preserve"/>
      </w:r>
    </w:p>
    <w:p>
      <w:pPr>
        <w:spacing w:after="80" w:before="200"/>
      </w:pPr>
      <w:r>
        <w:rPr>
          <w:rFonts w:ascii="Arial" w:cs="Arial" w:eastAsia="Arial" w:hAnsi="Arial"/>
          <w:b/>
          <w:bCs/>
          <w:color w:val="8A9A5B"/>
          <w:sz w:val="24"/>
          <w:szCs w:val="24"/>
        </w:rPr>
        <w:t xml:space="preserve">Main Activity 2 - The Big Calculation (15 mins)</w:t>
      </w:r>
    </w:p>
    <w:p>
      <w:pPr>
        <w:spacing w:after="80" w:before="60"/>
      </w:pPr>
      <w:r>
        <w:rPr>
          <w:rFonts w:ascii="Arial" w:cs="Arial" w:eastAsia="Arial" w:hAnsi="Arial"/>
          <w:sz w:val="22"/>
          <w:szCs w:val="22"/>
        </w:rPr>
        <w:t xml:space="preserve">Give pupils the following information (real or estimated for your school):</w:t>
      </w:r>
    </w:p>
    <w:p>
      <w:pPr>
        <w:pStyle w:val="ListParagraph"/>
        <w:numPr>
          <w:ilvl w:val="0"/>
          <w:numId w:val="2"/>
        </w:numPr>
        <w:spacing w:after="60" w:before="40"/>
      </w:pPr>
      <w:r>
        <w:rPr>
          <w:rFonts w:ascii="Arial" w:cs="Arial" w:eastAsia="Arial" w:hAnsi="Arial"/>
          <w:sz w:val="22"/>
          <w:szCs w:val="22"/>
        </w:rPr>
        <w:t xml:space="preserve">Distance from school to the nearest housing area: [teacher to fill in] km</w:t>
      </w:r>
    </w:p>
    <w:p>
      <w:pPr>
        <w:pStyle w:val="ListParagraph"/>
        <w:numPr>
          <w:ilvl w:val="0"/>
          <w:numId w:val="2"/>
        </w:numPr>
        <w:spacing w:after="60" w:before="40"/>
      </w:pPr>
      <w:r>
        <w:rPr>
          <w:rFonts w:ascii="Arial" w:cs="Arial" w:eastAsia="Arial" w:hAnsi="Arial"/>
          <w:sz w:val="22"/>
          <w:szCs w:val="22"/>
        </w:rPr>
        <w:t xml:space="preserve">Average car journey CO2: roughly 120g per km (petrol car)</w:t>
      </w:r>
    </w:p>
    <w:p>
      <w:pPr>
        <w:pStyle w:val="ListParagraph"/>
        <w:numPr>
          <w:ilvl w:val="0"/>
          <w:numId w:val="2"/>
        </w:numPr>
        <w:spacing w:after="60" w:before="40"/>
      </w:pPr>
      <w:r>
        <w:rPr>
          <w:rFonts w:ascii="Arial" w:cs="Arial" w:eastAsia="Arial" w:hAnsi="Arial"/>
          <w:sz w:val="22"/>
          <w:szCs w:val="22"/>
        </w:rPr>
        <w:t xml:space="preserve">Number of car-journey pupils in class: [from survey]</w:t>
      </w:r>
    </w:p>
    <w:p>
      <w:pPr>
        <w:pStyle w:val="ListParagraph"/>
        <w:numPr>
          <w:ilvl w:val="0"/>
          <w:numId w:val="2"/>
        </w:numPr>
        <w:spacing w:after="60" w:before="40"/>
      </w:pPr>
      <w:r>
        <w:rPr>
          <w:rFonts w:ascii="Arial" w:cs="Arial" w:eastAsia="Arial" w:hAnsi="Arial"/>
          <w:sz w:val="22"/>
          <w:szCs w:val="22"/>
        </w:rPr>
        <w:t xml:space="preserve">Number of school days per year: 190</w:t>
      </w:r>
    </w:p>
    <w:p>
      <w:pPr>
        <w:spacing w:after="80" w:before="60"/>
      </w:pPr>
      <w:r>
        <w:rPr>
          <w:rFonts w:ascii="Arial" w:cs="Arial" w:eastAsia="Arial" w:hAnsi="Arial"/>
          <w:sz w:val="22"/>
          <w:szCs w:val="22"/>
        </w:rPr>
        <w:t xml:space="preserve">Pupils calculate: How much CO2 do just the car journeys in our class produce in a year? (Round numbers are fine - the point is the scale, not precision.)</w:t>
      </w:r>
    </w:p>
    <w:p>
      <w:pPr>
        <w:spacing w:after="80" w:before="60"/>
      </w:pPr>
      <w:r>
        <w:rPr>
          <w:rFonts w:ascii="Arial" w:cs="Arial" w:eastAsia="Arial" w:hAnsi="Arial"/>
          <w:sz w:val="22"/>
          <w:szCs w:val="22"/>
        </w:rPr>
        <w:t xml:space="preserve">Y6 challenge: If half those families switched to walking or cycling for half the year, how much CO2 would that save?</w:t>
      </w:r>
    </w:p>
    <w:p>
      <w:pPr>
        <w:spacing w:after="80" w:before="80"/>
      </w:pPr>
      <w:r>
        <w:t xml:space="preserve"/>
      </w:r>
    </w:p>
    <w:p>
      <w:pPr>
        <w:spacing w:after="80" w:before="200"/>
      </w:pPr>
      <w:r>
        <w:rPr>
          <w:rFonts w:ascii="Arial" w:cs="Arial" w:eastAsia="Arial" w:hAnsi="Arial"/>
          <w:b/>
          <w:bCs/>
          <w:color w:val="8A9A5B"/>
          <w:sz w:val="24"/>
          <w:szCs w:val="24"/>
        </w:rPr>
        <w:t xml:space="preserve">Main Activity 3 - The Map (10 mins)</w:t>
      </w:r>
    </w:p>
    <w:p>
      <w:pPr>
        <w:pStyle w:val="ListParagraph"/>
        <w:numPr>
          <w:ilvl w:val="0"/>
          <w:numId w:val="2"/>
        </w:numPr>
        <w:spacing w:after="60" w:before="40"/>
      </w:pPr>
      <w:r>
        <w:rPr>
          <w:rFonts w:ascii="Arial" w:cs="Arial" w:eastAsia="Arial" w:hAnsi="Arial"/>
          <w:sz w:val="22"/>
          <w:szCs w:val="22"/>
        </w:rPr>
        <w:t xml:space="preserve">Use a simple printed or projected map of the local area.</w:t>
      </w:r>
    </w:p>
    <w:p>
      <w:pPr>
        <w:pStyle w:val="ListParagraph"/>
        <w:numPr>
          <w:ilvl w:val="0"/>
          <w:numId w:val="2"/>
        </w:numPr>
        <w:spacing w:after="60" w:before="40"/>
      </w:pPr>
      <w:r>
        <w:rPr>
          <w:rFonts w:ascii="Arial" w:cs="Arial" w:eastAsia="Arial" w:hAnsi="Arial"/>
          <w:sz w:val="22"/>
          <w:szCs w:val="22"/>
        </w:rPr>
        <w:t xml:space="preserve">Pupils mark: Where do they live (roughly)? Is it walkable? What’s in the way - a main road? No pavement?</w:t>
      </w:r>
    </w:p>
    <w:p>
      <w:pPr>
        <w:pStyle w:val="ListParagraph"/>
        <w:numPr>
          <w:ilvl w:val="0"/>
          <w:numId w:val="2"/>
        </w:numPr>
        <w:spacing w:after="60" w:before="40"/>
      </w:pPr>
      <w:r>
        <w:rPr>
          <w:rFonts w:ascii="Arial" w:cs="Arial" w:eastAsia="Arial" w:hAnsi="Arial"/>
          <w:sz w:val="22"/>
          <w:szCs w:val="22"/>
        </w:rPr>
        <w:t xml:space="preserve">Key discussion: Why can’t everyone walk, even if they wanted to? What would need to change?</w:t>
      </w:r>
    </w:p>
    <w:p>
      <w:pPr>
        <w:spacing w:after="80" w:before="80"/>
      </w:pPr>
      <w:r>
        <w:t xml:space="preserve"/>
      </w:r>
    </w:p>
    <w:p>
      <w:pPr>
        <w:spacing w:after="80" w:before="200"/>
      </w:pPr>
      <w:r>
        <w:rPr>
          <w:rFonts w:ascii="Arial" w:cs="Arial" w:eastAsia="Arial" w:hAnsi="Arial"/>
          <w:b/>
          <w:bCs/>
          <w:color w:val="8A9A5B"/>
          <w:sz w:val="24"/>
          <w:szCs w:val="24"/>
        </w:rPr>
        <w:t xml:space="preserve">Plenary (10 mins): What Would We Tell the School?</w:t>
      </w:r>
    </w:p>
    <w:p>
      <w:pPr>
        <w:pStyle w:val="ListParagraph"/>
        <w:numPr>
          <w:ilvl w:val="0"/>
          <w:numId w:val="2"/>
        </w:numPr>
        <w:spacing w:after="60" w:before="40"/>
      </w:pPr>
      <w:r>
        <w:rPr>
          <w:rFonts w:ascii="Arial" w:cs="Arial" w:eastAsia="Arial" w:hAnsi="Arial"/>
          <w:sz w:val="22"/>
          <w:szCs w:val="22"/>
        </w:rPr>
        <w:t xml:space="preserve">Groups decide on one thing they would want school leaders to know about travel to school.</w:t>
      </w:r>
    </w:p>
    <w:p>
      <w:pPr>
        <w:pStyle w:val="ListParagraph"/>
        <w:numPr>
          <w:ilvl w:val="0"/>
          <w:numId w:val="2"/>
        </w:numPr>
        <w:spacing w:after="60" w:before="40"/>
      </w:pPr>
      <w:r>
        <w:rPr>
          <w:rFonts w:ascii="Arial" w:cs="Arial" w:eastAsia="Arial" w:hAnsi="Arial"/>
          <w:sz w:val="22"/>
          <w:szCs w:val="22"/>
        </w:rPr>
        <w:t xml:space="preserve">Could feed into a pupil council agenda or eco committee.</w:t>
      </w:r>
    </w:p>
    <w:p>
      <w:pPr>
        <w:pStyle w:val="ListParagraph"/>
        <w:numPr>
          <w:ilvl w:val="0"/>
          <w:numId w:val="2"/>
        </w:numPr>
        <w:spacing w:after="60" w:before="40"/>
      </w:pPr>
      <w:r>
        <w:rPr>
          <w:rFonts w:ascii="Arial" w:cs="Arial" w:eastAsia="Arial" w:hAnsi="Arial"/>
          <w:sz w:val="22"/>
          <w:szCs w:val="22"/>
        </w:rPr>
        <w:t xml:space="preserve">Optional: write a short letter to the headteacher from the class with their findings.</w:t>
      </w:r>
    </w:p>
    <w:p>
      <w:pPr>
        <w:spacing w:after="80" w:before="80"/>
      </w:pPr>
      <w:r>
        <w:t xml:space="preserve"/>
      </w:r>
    </w:p>
    <w:p>
      <w:pPr>
        <w:pStyle w:val="Heading2"/>
        <w:spacing w:after="100" w:before="280"/>
      </w:pPr>
      <w:r>
        <w:rPr>
          <w:rFonts w:ascii="Arial" w:cs="Arial" w:eastAsia="Arial" w:hAnsi="Arial"/>
          <w:b/>
          <w:bCs/>
          <w:color w:val="6B7A45"/>
          <w:sz w:val="28"/>
          <w:szCs w:val="28"/>
        </w:rPr>
        <w:t xml:space="preserve">Resources Needed</w:t>
      </w:r>
    </w:p>
    <w:p>
      <w:pPr>
        <w:pStyle w:val="ListParagraph"/>
        <w:numPr>
          <w:ilvl w:val="0"/>
          <w:numId w:val="2"/>
        </w:numPr>
        <w:spacing w:after="60" w:before="40"/>
      </w:pPr>
      <w:r>
        <w:rPr>
          <w:rFonts w:ascii="Arial" w:cs="Arial" w:eastAsia="Arial" w:hAnsi="Arial"/>
          <w:sz w:val="22"/>
          <w:szCs w:val="22"/>
        </w:rPr>
        <w:t xml:space="preserve">Mini-whiteboards or paper for survey</w:t>
      </w:r>
    </w:p>
    <w:p>
      <w:pPr>
        <w:pStyle w:val="ListParagraph"/>
        <w:numPr>
          <w:ilvl w:val="0"/>
          <w:numId w:val="2"/>
        </w:numPr>
        <w:spacing w:after="60" w:before="40"/>
      </w:pPr>
      <w:r>
        <w:rPr>
          <w:rFonts w:ascii="Arial" w:cs="Arial" w:eastAsia="Arial" w:hAnsi="Arial"/>
          <w:sz w:val="22"/>
          <w:szCs w:val="22"/>
        </w:rPr>
        <w:t xml:space="preserve">Printed or digital local map</w:t>
      </w:r>
    </w:p>
    <w:p>
      <w:pPr>
        <w:pStyle w:val="ListParagraph"/>
        <w:numPr>
          <w:ilvl w:val="0"/>
          <w:numId w:val="2"/>
        </w:numPr>
        <w:spacing w:after="60" w:before="40"/>
      </w:pPr>
      <w:r>
        <w:rPr>
          <w:rFonts w:ascii="Arial" w:cs="Arial" w:eastAsia="Arial" w:hAnsi="Arial"/>
          <w:sz w:val="22"/>
          <w:szCs w:val="22"/>
        </w:rPr>
        <w:t xml:space="preserve">Calculators (Y5) or mental maths (Y6 extension)</w:t>
      </w:r>
    </w:p>
    <w:p>
      <w:pPr>
        <w:pStyle w:val="ListParagraph"/>
        <w:numPr>
          <w:ilvl w:val="0"/>
          <w:numId w:val="2"/>
        </w:numPr>
        <w:spacing w:after="60" w:before="40"/>
      </w:pPr>
      <w:r>
        <w:rPr>
          <w:rFonts w:ascii="Arial" w:cs="Arial" w:eastAsia="Arial" w:hAnsi="Arial"/>
          <w:sz w:val="22"/>
          <w:szCs w:val="22"/>
        </w:rPr>
        <w:t xml:space="preserve">Optional: simple tally chart template</w:t>
      </w:r>
    </w:p>
    <w:p>
      <w:pPr>
        <w:spacing w:after="80" w:before="80"/>
      </w:pPr>
      <w:r>
        <w:t xml:space="preserve"/>
      </w:r>
    </w:p>
    <w:p>
      <w:pPr>
        <w:pStyle w:val="Heading2"/>
        <w:spacing w:after="100" w:before="280"/>
      </w:pPr>
      <w:r>
        <w:rPr>
          <w:rFonts w:ascii="Arial" w:cs="Arial" w:eastAsia="Arial" w:hAnsi="Arial"/>
          <w:b/>
          <w:bCs/>
          <w:color w:val="6B7A45"/>
          <w:sz w:val="28"/>
          <w:szCs w:val="28"/>
        </w:rPr>
        <w:t xml:space="preserve">Teacher Notes</w:t>
      </w:r>
    </w:p>
    <w:p>
      <w:pPr>
        <w:spacing w:after="80" w:before="60"/>
      </w:pPr>
      <w:r>
        <w:rPr>
          <w:rFonts w:ascii="Arial" w:cs="Arial" w:eastAsia="Arial" w:hAnsi="Arial"/>
          <w:sz w:val="22"/>
          <w:szCs w:val="22"/>
        </w:rPr>
        <w:t xml:space="preserve">This lesson works best if the survey is genuine - real data from real pupils makes the numbers meaningful. If the school already collects travel-to-school data, use that instead. The point is not to shame car-using families but to help pupils understand the system they’re part of, and what levers exist within it.</w:t>
      </w:r>
    </w:p>
    <w:p>
      <w:pPr>
        <w:spacing w:after="80" w:before="80"/>
      </w:pPr>
      <w:r>
        <w:t xml:space="preserve"/>
      </w:r>
    </w:p>
    <w:p>
      <w:pPr>
        <w:spacing w:after="80" w:before="60"/>
      </w:pPr>
      <w:r>
        <w:rPr>
          <w:rFonts w:ascii="Arial" w:cs="Arial" w:eastAsia="Arial" w:hAnsi="Arial"/>
          <w:sz w:val="22"/>
          <w:szCs w:val="22"/>
        </w:rPr>
        <w:t xml:space="preserve">For schools with an active eco committee or School Travel Plan, this lesson feeds directly into that work and can generate pupil-led outputs.</w:t>
      </w:r>
    </w:p>
    <w:p>
      <w:pPr>
        <w:spacing w:after="80" w:before="80"/>
      </w:pPr>
      <w:r>
        <w:t xml:space="preserve"/>
      </w:r>
    </w:p>
    <w:p>
      <w:pPr>
        <w:pBdr>
          <w:bottom w:val="single" w:color="8A9A5B" w:sz="6" w:space="1"/>
        </w:pBdr>
        <w:spacing w:after="120" w:before="120"/>
      </w:pPr>
      <w:r>
        <w:t xml:space="preserve"/>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EEF2E6" w:val="clear"/>
            <w:tcMar>
              <w:top w:type="dxa" w:w="160"/>
              <w:left w:type="dxa" w:w="240"/>
              <w:bottom w:type="dxa" w:w="160"/>
              <w:right w:type="dxa" w:w="240"/>
            </w:tcMar>
          </w:tcPr>
          <w:p>
            <w:pPr>
              <w:spacing w:after="40" w:before="60"/>
              <w:jc w:val="center"/>
            </w:pPr>
            <w:r>
              <w:rPr>
                <w:rFonts w:ascii="Arial" w:cs="Arial" w:eastAsia="Arial" w:hAnsi="Arial"/>
                <w:b/>
                <w:bCs/>
                <w:color w:val="3B4A20"/>
                <w:sz w:val="22"/>
                <w:szCs w:val="22"/>
              </w:rPr>
              <w:t xml:space="preserve">Not Yet Zero • Ground Level Assembly Pack</w:t>
            </w:r>
          </w:p>
          <w:p>
            <w:pPr>
              <w:spacing w:after="60" w:before="20"/>
              <w:jc w:val="center"/>
            </w:pPr>
            <w:r>
              <w:rPr>
                <w:rFonts w:ascii="Arial" w:cs="Arial" w:eastAsia="Arial" w:hAnsi="Arial"/>
                <w:i/>
                <w:iCs/>
                <w:color w:val="6B7A45"/>
                <w:sz w:val="20"/>
                <w:szCs w:val="20"/>
              </w:rPr>
              <w:t xml:space="preserve">notyetzero.com • Free to use and adapt for educational purposes</w:t>
            </w:r>
          </w:p>
        </w:tc>
      </w:tr>
    </w:tbl>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3B4A20"/>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6B7A45"/>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2026-06-19T11:29:29.543Z</dcterms:created>
  <dcterms:modified xsi:type="dcterms:W3CDTF">2026-06-19T11:29:29.562Z</dcterms:modified>
</cp:coreProperties>
</file>

<file path=docProps/custom.xml><?xml version="1.0" encoding="utf-8"?>
<Properties xmlns="http://schemas.openxmlformats.org/officeDocument/2006/custom-properties" xmlns:vt="http://schemas.openxmlformats.org/officeDocument/2006/docPropsVTypes"/>
</file>