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C67" w:rsidRDefault="009854D3" w:rsidP="00695C67">
      <w:pPr>
        <w:spacing w:after="0" w:line="240" w:lineRule="auto"/>
        <w:jc w:val="center"/>
        <w:rPr>
          <w:rFonts w:ascii="Garamond" w:hAnsi="Garamond"/>
          <w:b/>
          <w:bCs/>
          <w:smallCaps/>
          <w:sz w:val="25"/>
          <w:szCs w:val="25"/>
        </w:rPr>
      </w:pPr>
      <w:r w:rsidRPr="004B52A3">
        <w:rPr>
          <w:rFonts w:ascii="Garamond" w:hAnsi="Garamond"/>
          <w:b/>
          <w:bCs/>
          <w:smallCaps/>
          <w:sz w:val="25"/>
          <w:szCs w:val="25"/>
        </w:rPr>
        <w:t xml:space="preserve">Mesures </w:t>
      </w:r>
      <w:r w:rsidR="00500CA3" w:rsidRPr="004B52A3">
        <w:rPr>
          <w:rFonts w:ascii="Garamond" w:hAnsi="Garamond"/>
          <w:b/>
          <w:bCs/>
          <w:smallCaps/>
          <w:sz w:val="25"/>
          <w:szCs w:val="25"/>
        </w:rPr>
        <w:t xml:space="preserve">restrictives </w:t>
      </w:r>
    </w:p>
    <w:p w:rsidR="00FA5AF1" w:rsidRPr="004B52A3" w:rsidRDefault="004B52A3" w:rsidP="00695C67">
      <w:pPr>
        <w:spacing w:after="0" w:line="240" w:lineRule="auto"/>
        <w:jc w:val="center"/>
        <w:rPr>
          <w:rFonts w:ascii="Garamond" w:hAnsi="Garamond"/>
          <w:b/>
          <w:bCs/>
          <w:smallCaps/>
          <w:sz w:val="25"/>
          <w:szCs w:val="25"/>
        </w:rPr>
      </w:pPr>
      <w:r w:rsidRPr="004B52A3">
        <w:rPr>
          <w:rFonts w:ascii="Garamond" w:hAnsi="Garamond"/>
          <w:b/>
          <w:bCs/>
          <w:smallCaps/>
          <w:sz w:val="25"/>
          <w:szCs w:val="25"/>
        </w:rPr>
        <w:t xml:space="preserve">pouvant être imposées </w:t>
      </w:r>
      <w:r>
        <w:rPr>
          <w:rFonts w:ascii="Garamond" w:hAnsi="Garamond"/>
          <w:b/>
          <w:bCs/>
          <w:smallCaps/>
          <w:sz w:val="25"/>
          <w:szCs w:val="25"/>
        </w:rPr>
        <w:t xml:space="preserve">par le Maroc </w:t>
      </w:r>
      <w:r w:rsidRPr="004B52A3">
        <w:rPr>
          <w:rFonts w:ascii="Garamond" w:hAnsi="Garamond"/>
          <w:b/>
          <w:bCs/>
          <w:smallCaps/>
          <w:sz w:val="25"/>
          <w:szCs w:val="25"/>
        </w:rPr>
        <w:t>à la Minurso</w:t>
      </w:r>
    </w:p>
    <w:p w:rsidR="00695C67" w:rsidRDefault="00695C67" w:rsidP="00695C67">
      <w:pPr>
        <w:ind w:firstLine="284"/>
        <w:jc w:val="both"/>
        <w:rPr>
          <w:rFonts w:ascii="Garamond" w:hAnsi="Garamond"/>
          <w:sz w:val="25"/>
          <w:szCs w:val="25"/>
        </w:rPr>
      </w:pPr>
    </w:p>
    <w:p w:rsidR="009854D3" w:rsidRDefault="004B52A3" w:rsidP="00ED5554">
      <w:pPr>
        <w:ind w:firstLine="284"/>
        <w:jc w:val="both"/>
        <w:rPr>
          <w:rFonts w:ascii="Garamond" w:hAnsi="Garamond"/>
          <w:sz w:val="25"/>
          <w:szCs w:val="25"/>
        </w:rPr>
      </w:pPr>
      <w:r>
        <w:rPr>
          <w:rFonts w:ascii="Garamond" w:hAnsi="Garamond"/>
          <w:sz w:val="25"/>
          <w:szCs w:val="25"/>
        </w:rPr>
        <w:t xml:space="preserve">Un certain nombre de mesures restrictives peuvent être imposées à la </w:t>
      </w:r>
      <w:r w:rsidRPr="004B52A3">
        <w:rPr>
          <w:rFonts w:ascii="Garamond" w:hAnsi="Garamond"/>
          <w:smallCaps/>
          <w:sz w:val="25"/>
          <w:szCs w:val="25"/>
        </w:rPr>
        <w:t>Minurso</w:t>
      </w:r>
      <w:r>
        <w:rPr>
          <w:rFonts w:ascii="Garamond" w:hAnsi="Garamond"/>
          <w:sz w:val="25"/>
          <w:szCs w:val="25"/>
        </w:rPr>
        <w:t xml:space="preserve"> et ses membres, sans </w:t>
      </w:r>
      <w:r w:rsidR="00F96CE4">
        <w:rPr>
          <w:rFonts w:ascii="Garamond" w:hAnsi="Garamond"/>
          <w:sz w:val="25"/>
          <w:szCs w:val="25"/>
        </w:rPr>
        <w:t>p</w:t>
      </w:r>
      <w:r>
        <w:rPr>
          <w:rFonts w:ascii="Garamond" w:hAnsi="Garamond"/>
          <w:sz w:val="25"/>
          <w:szCs w:val="25"/>
        </w:rPr>
        <w:t xml:space="preserve">orter violation du </w:t>
      </w:r>
      <w:r w:rsidRPr="004B52A3">
        <w:rPr>
          <w:rFonts w:ascii="Garamond" w:hAnsi="Garamond"/>
          <w:smallCaps/>
          <w:sz w:val="25"/>
          <w:szCs w:val="25"/>
        </w:rPr>
        <w:t>Sofa</w:t>
      </w:r>
      <w:r>
        <w:rPr>
          <w:rFonts w:ascii="Garamond" w:hAnsi="Garamond"/>
          <w:sz w:val="25"/>
          <w:szCs w:val="25"/>
        </w:rPr>
        <w:t xml:space="preserve">. Le propos de la présente </w:t>
      </w:r>
      <w:r w:rsidR="00ED5554">
        <w:rPr>
          <w:rFonts w:ascii="Garamond" w:hAnsi="Garamond"/>
          <w:sz w:val="25"/>
          <w:szCs w:val="25"/>
        </w:rPr>
        <w:t>fiche</w:t>
      </w:r>
      <w:r>
        <w:rPr>
          <w:rFonts w:ascii="Garamond" w:hAnsi="Garamond"/>
          <w:sz w:val="25"/>
          <w:szCs w:val="25"/>
        </w:rPr>
        <w:t xml:space="preserve"> est de dresser un inventaire de ces mesures de restriction. Toutefois, il serait indiqu</w:t>
      </w:r>
      <w:r w:rsidR="00ED5554">
        <w:rPr>
          <w:rFonts w:ascii="Garamond" w:hAnsi="Garamond"/>
          <w:sz w:val="25"/>
          <w:szCs w:val="25"/>
        </w:rPr>
        <w:t>é</w:t>
      </w:r>
      <w:r>
        <w:rPr>
          <w:rFonts w:ascii="Garamond" w:hAnsi="Garamond"/>
          <w:sz w:val="25"/>
          <w:szCs w:val="25"/>
        </w:rPr>
        <w:t xml:space="preserve"> d’examiner en consultations avec les autorités d’exécution l</w:t>
      </w:r>
      <w:r w:rsidR="00ED5554">
        <w:rPr>
          <w:rFonts w:ascii="Garamond" w:hAnsi="Garamond"/>
          <w:sz w:val="25"/>
          <w:szCs w:val="25"/>
        </w:rPr>
        <w:t>’impact, l</w:t>
      </w:r>
      <w:r>
        <w:rPr>
          <w:rFonts w:ascii="Garamond" w:hAnsi="Garamond"/>
          <w:sz w:val="25"/>
          <w:szCs w:val="25"/>
        </w:rPr>
        <w:t>a portée et la faisabilité des mesures identifiées.</w:t>
      </w:r>
    </w:p>
    <w:p w:rsidR="009854D3" w:rsidRPr="00BD1150" w:rsidRDefault="009854D3" w:rsidP="00BD1150">
      <w:pPr>
        <w:pStyle w:val="Paragraphedeliste"/>
        <w:numPr>
          <w:ilvl w:val="0"/>
          <w:numId w:val="5"/>
        </w:numPr>
        <w:tabs>
          <w:tab w:val="left" w:pos="709"/>
          <w:tab w:val="left" w:pos="1134"/>
        </w:tabs>
        <w:spacing w:after="0" w:line="240" w:lineRule="auto"/>
        <w:rPr>
          <w:rFonts w:ascii="Garamond" w:hAnsi="Garamond"/>
          <w:b/>
          <w:bCs/>
          <w:smallCaps/>
          <w:sz w:val="25"/>
          <w:szCs w:val="25"/>
        </w:rPr>
      </w:pPr>
      <w:r w:rsidRPr="00BD1150">
        <w:rPr>
          <w:rFonts w:ascii="Garamond" w:hAnsi="Garamond"/>
          <w:b/>
          <w:bCs/>
          <w:smallCaps/>
          <w:sz w:val="25"/>
          <w:szCs w:val="25"/>
          <w:u w:val="single"/>
        </w:rPr>
        <w:t>Mesures à caractère politique et diplomatique</w:t>
      </w:r>
      <w:r w:rsidRPr="00BD1150">
        <w:rPr>
          <w:rFonts w:ascii="Garamond" w:hAnsi="Garamond"/>
          <w:b/>
          <w:bCs/>
          <w:smallCaps/>
          <w:sz w:val="25"/>
          <w:szCs w:val="25"/>
        </w:rPr>
        <w:t> :</w:t>
      </w:r>
    </w:p>
    <w:p w:rsidR="007F3089" w:rsidRPr="004B52A3" w:rsidRDefault="007F3089" w:rsidP="00695C67">
      <w:pPr>
        <w:pStyle w:val="Paragraphedeliste"/>
        <w:ind w:left="284"/>
        <w:jc w:val="both"/>
        <w:rPr>
          <w:rFonts w:ascii="Garamond" w:hAnsi="Garamond"/>
          <w:b/>
          <w:bCs/>
          <w:sz w:val="25"/>
          <w:szCs w:val="25"/>
        </w:rPr>
      </w:pPr>
    </w:p>
    <w:p w:rsidR="009854D3" w:rsidRPr="004B52A3" w:rsidRDefault="009854D3" w:rsidP="00695C67">
      <w:pPr>
        <w:pStyle w:val="Paragraphedeliste"/>
        <w:numPr>
          <w:ilvl w:val="0"/>
          <w:numId w:val="1"/>
        </w:numPr>
        <w:ind w:left="284" w:hanging="284"/>
        <w:jc w:val="both"/>
        <w:rPr>
          <w:rFonts w:ascii="Garamond" w:hAnsi="Garamond"/>
          <w:sz w:val="25"/>
          <w:szCs w:val="25"/>
        </w:rPr>
      </w:pPr>
      <w:r w:rsidRPr="004B52A3">
        <w:rPr>
          <w:rFonts w:ascii="Garamond" w:hAnsi="Garamond"/>
          <w:b/>
          <w:bCs/>
          <w:sz w:val="25"/>
          <w:szCs w:val="25"/>
        </w:rPr>
        <w:t>Retarder au maximum la décision relative à la nomination d’un nouveau RSSG</w:t>
      </w:r>
      <w:r w:rsidRPr="004B52A3">
        <w:rPr>
          <w:rFonts w:ascii="Garamond" w:hAnsi="Garamond"/>
          <w:sz w:val="25"/>
          <w:szCs w:val="25"/>
        </w:rPr>
        <w:t> : Cette action aurait pour effet de minimiser la visibilité de la MINURSO, de limiter son action à la gestion des affaires courantes et à son mandat de surveillance de cessez le feu et priver l’Envoyé personnel d’un appui sur le terrain dans cette phase où les Nations Unies tentent de recadrer le processus politique ;</w:t>
      </w:r>
    </w:p>
    <w:p w:rsidR="009854D3" w:rsidRPr="004B52A3" w:rsidRDefault="008408D1" w:rsidP="00695C67">
      <w:pPr>
        <w:pStyle w:val="Paragraphedeliste"/>
        <w:numPr>
          <w:ilvl w:val="0"/>
          <w:numId w:val="1"/>
        </w:numPr>
        <w:ind w:left="284" w:hanging="284"/>
        <w:jc w:val="both"/>
        <w:rPr>
          <w:rFonts w:ascii="Garamond" w:hAnsi="Garamond"/>
          <w:sz w:val="25"/>
          <w:szCs w:val="25"/>
        </w:rPr>
      </w:pPr>
      <w:r w:rsidRPr="004B52A3">
        <w:rPr>
          <w:rFonts w:ascii="Garamond" w:hAnsi="Garamond"/>
          <w:b/>
          <w:bCs/>
          <w:sz w:val="25"/>
          <w:szCs w:val="25"/>
        </w:rPr>
        <w:t>Instaurer des restrictions à l’interaction de la MINURSO</w:t>
      </w:r>
      <w:r w:rsidRPr="004B52A3">
        <w:rPr>
          <w:rFonts w:ascii="Garamond" w:hAnsi="Garamond"/>
          <w:sz w:val="25"/>
          <w:szCs w:val="25"/>
        </w:rPr>
        <w:t xml:space="preserve"> avec les responsables des autorités marocaines : afin de compliquer la tâche aux responsables de la MINURSO, imposer que les contacts de la Mission officiels se déroulent à Rabat (MAEC, Intérieur) et non à Laâyoune. Le Bureau de coordination se limitera à organiser les rendez vous deux ou trois mois à l’avance ;</w:t>
      </w:r>
    </w:p>
    <w:p w:rsidR="008408D1" w:rsidRDefault="008408D1" w:rsidP="00695C67">
      <w:pPr>
        <w:pStyle w:val="Paragraphedeliste"/>
        <w:numPr>
          <w:ilvl w:val="0"/>
          <w:numId w:val="1"/>
        </w:numPr>
        <w:ind w:left="284" w:hanging="284"/>
        <w:jc w:val="both"/>
        <w:rPr>
          <w:rFonts w:ascii="Garamond" w:hAnsi="Garamond"/>
          <w:sz w:val="25"/>
          <w:szCs w:val="25"/>
        </w:rPr>
      </w:pPr>
      <w:r w:rsidRPr="004B52A3">
        <w:rPr>
          <w:rFonts w:ascii="Garamond" w:hAnsi="Garamond"/>
          <w:b/>
          <w:bCs/>
          <w:sz w:val="25"/>
          <w:szCs w:val="25"/>
        </w:rPr>
        <w:t>Décliner les demandes de rencontre des responsables</w:t>
      </w:r>
      <w:r w:rsidRPr="004B52A3">
        <w:rPr>
          <w:rFonts w:ascii="Garamond" w:hAnsi="Garamond"/>
          <w:sz w:val="25"/>
          <w:szCs w:val="25"/>
        </w:rPr>
        <w:t xml:space="preserve"> de la MINURSO au niveau ministériel (MAEC, Intérieur).</w:t>
      </w:r>
    </w:p>
    <w:p w:rsidR="00BD1150" w:rsidRPr="00BD1150" w:rsidRDefault="00BD1150" w:rsidP="00BD1150">
      <w:pPr>
        <w:pStyle w:val="Paragraphedeliste"/>
        <w:ind w:left="284"/>
        <w:jc w:val="both"/>
        <w:rPr>
          <w:rFonts w:ascii="Garamond" w:hAnsi="Garamond"/>
          <w:sz w:val="18"/>
          <w:szCs w:val="18"/>
        </w:rPr>
      </w:pPr>
    </w:p>
    <w:p w:rsidR="009854D3" w:rsidRPr="00BD1150" w:rsidRDefault="009854D3" w:rsidP="00BD1150">
      <w:pPr>
        <w:pStyle w:val="Paragraphedeliste"/>
        <w:numPr>
          <w:ilvl w:val="0"/>
          <w:numId w:val="5"/>
        </w:numPr>
        <w:tabs>
          <w:tab w:val="left" w:pos="709"/>
          <w:tab w:val="left" w:pos="1134"/>
        </w:tabs>
        <w:spacing w:after="0" w:line="240" w:lineRule="auto"/>
        <w:rPr>
          <w:rFonts w:ascii="Garamond" w:hAnsi="Garamond"/>
          <w:b/>
          <w:bCs/>
          <w:smallCaps/>
          <w:sz w:val="28"/>
          <w:szCs w:val="28"/>
          <w:u w:val="single"/>
        </w:rPr>
      </w:pPr>
      <w:r w:rsidRPr="00BD1150">
        <w:rPr>
          <w:rFonts w:ascii="Garamond" w:hAnsi="Garamond"/>
          <w:b/>
          <w:bCs/>
          <w:smallCaps/>
          <w:sz w:val="28"/>
          <w:szCs w:val="28"/>
          <w:u w:val="single"/>
        </w:rPr>
        <w:t>Mesures à caractère administratif :</w:t>
      </w:r>
    </w:p>
    <w:p w:rsidR="007F3089" w:rsidRPr="004B52A3" w:rsidRDefault="007F3089" w:rsidP="00695C67">
      <w:pPr>
        <w:pStyle w:val="Paragraphedeliste"/>
        <w:ind w:left="284"/>
        <w:jc w:val="both"/>
        <w:rPr>
          <w:rFonts w:ascii="Garamond" w:hAnsi="Garamond"/>
          <w:b/>
          <w:bCs/>
          <w:sz w:val="25"/>
          <w:szCs w:val="25"/>
        </w:rPr>
      </w:pPr>
    </w:p>
    <w:p w:rsidR="009854D3" w:rsidRPr="004B52A3" w:rsidRDefault="00895CBE" w:rsidP="00695C67">
      <w:pPr>
        <w:pStyle w:val="Paragraphedeliste"/>
        <w:numPr>
          <w:ilvl w:val="0"/>
          <w:numId w:val="1"/>
        </w:numPr>
        <w:ind w:left="284" w:hanging="284"/>
        <w:jc w:val="both"/>
        <w:rPr>
          <w:rFonts w:ascii="Garamond" w:hAnsi="Garamond"/>
          <w:sz w:val="25"/>
          <w:szCs w:val="25"/>
        </w:rPr>
      </w:pPr>
      <w:r w:rsidRPr="004B52A3">
        <w:rPr>
          <w:rFonts w:ascii="Garamond" w:hAnsi="Garamond"/>
          <w:b/>
          <w:bCs/>
          <w:sz w:val="25"/>
          <w:szCs w:val="25"/>
        </w:rPr>
        <w:t xml:space="preserve">Sans enfreindre l’article 24 du </w:t>
      </w:r>
      <w:r w:rsidRPr="004B52A3">
        <w:rPr>
          <w:rFonts w:ascii="Garamond" w:hAnsi="Garamond"/>
          <w:b/>
          <w:bCs/>
          <w:smallCaps/>
          <w:sz w:val="25"/>
          <w:szCs w:val="25"/>
        </w:rPr>
        <w:t>Sofa</w:t>
      </w:r>
      <w:r w:rsidRPr="004B52A3">
        <w:rPr>
          <w:rFonts w:ascii="Garamond" w:hAnsi="Garamond"/>
          <w:b/>
          <w:bCs/>
          <w:sz w:val="25"/>
          <w:szCs w:val="25"/>
        </w:rPr>
        <w:t>, i</w:t>
      </w:r>
      <w:r w:rsidR="008408D1" w:rsidRPr="004B52A3">
        <w:rPr>
          <w:rFonts w:ascii="Garamond" w:hAnsi="Garamond"/>
          <w:b/>
          <w:bCs/>
          <w:sz w:val="25"/>
          <w:szCs w:val="25"/>
        </w:rPr>
        <w:t>nstruire toutes nos Ambassades pour ne plus délivrer de visa</w:t>
      </w:r>
      <w:r w:rsidR="008408D1" w:rsidRPr="004B52A3">
        <w:rPr>
          <w:rFonts w:ascii="Garamond" w:hAnsi="Garamond"/>
          <w:sz w:val="25"/>
          <w:szCs w:val="25"/>
        </w:rPr>
        <w:t xml:space="preserve"> </w:t>
      </w:r>
      <w:r w:rsidR="008408D1" w:rsidRPr="004B52A3">
        <w:rPr>
          <w:rFonts w:ascii="Garamond" w:hAnsi="Garamond"/>
          <w:b/>
          <w:bCs/>
          <w:sz w:val="25"/>
          <w:szCs w:val="25"/>
        </w:rPr>
        <w:t>pour le personnel militaire et civil de la MINURSO</w:t>
      </w:r>
      <w:r w:rsidR="008408D1" w:rsidRPr="004B52A3">
        <w:rPr>
          <w:rFonts w:ascii="Garamond" w:hAnsi="Garamond"/>
          <w:sz w:val="25"/>
          <w:szCs w:val="25"/>
        </w:rPr>
        <w:t xml:space="preserve"> et demander</w:t>
      </w:r>
      <w:r w:rsidR="007F3089" w:rsidRPr="004B52A3">
        <w:rPr>
          <w:rFonts w:ascii="Garamond" w:hAnsi="Garamond"/>
          <w:sz w:val="25"/>
          <w:szCs w:val="25"/>
        </w:rPr>
        <w:t>, au préalable, l’</w:t>
      </w:r>
      <w:r w:rsidR="008408D1" w:rsidRPr="004B52A3">
        <w:rPr>
          <w:rFonts w:ascii="Garamond" w:hAnsi="Garamond"/>
          <w:sz w:val="25"/>
          <w:szCs w:val="25"/>
        </w:rPr>
        <w:t xml:space="preserve">avis au Département. La décision finale des autorités devrait respecter </w:t>
      </w:r>
      <w:r w:rsidR="007F3089" w:rsidRPr="004B52A3">
        <w:rPr>
          <w:rFonts w:ascii="Garamond" w:hAnsi="Garamond"/>
          <w:sz w:val="25"/>
          <w:szCs w:val="25"/>
        </w:rPr>
        <w:t>un</w:t>
      </w:r>
      <w:r w:rsidR="008408D1" w:rsidRPr="004B52A3">
        <w:rPr>
          <w:rFonts w:ascii="Garamond" w:hAnsi="Garamond"/>
          <w:sz w:val="25"/>
          <w:szCs w:val="25"/>
        </w:rPr>
        <w:t xml:space="preserve"> délai minimum de deux à trois mois, </w:t>
      </w:r>
      <w:r w:rsidR="00500CA3" w:rsidRPr="004B52A3">
        <w:rPr>
          <w:rFonts w:ascii="Garamond" w:hAnsi="Garamond"/>
          <w:sz w:val="25"/>
          <w:szCs w:val="25"/>
        </w:rPr>
        <w:t xml:space="preserve">sans exclure la possibilité de </w:t>
      </w:r>
      <w:r w:rsidR="008408D1" w:rsidRPr="004B52A3">
        <w:rPr>
          <w:rFonts w:ascii="Garamond" w:hAnsi="Garamond"/>
          <w:sz w:val="25"/>
          <w:szCs w:val="25"/>
        </w:rPr>
        <w:t xml:space="preserve">rejet de </w:t>
      </w:r>
      <w:r w:rsidR="00500CA3" w:rsidRPr="004B52A3">
        <w:rPr>
          <w:rFonts w:ascii="Garamond" w:hAnsi="Garamond"/>
          <w:sz w:val="25"/>
          <w:szCs w:val="25"/>
        </w:rPr>
        <w:t xml:space="preserve">visa au cas par cas </w:t>
      </w:r>
      <w:r w:rsidR="008408D1" w:rsidRPr="004B52A3">
        <w:rPr>
          <w:rFonts w:ascii="Garamond" w:hAnsi="Garamond"/>
          <w:sz w:val="25"/>
          <w:szCs w:val="25"/>
        </w:rPr>
        <w:t>(nationalité, position du pays d’origine sur la question du Sahara etc)</w:t>
      </w:r>
      <w:r w:rsidR="007F3089" w:rsidRPr="004B52A3">
        <w:rPr>
          <w:rFonts w:ascii="Garamond" w:hAnsi="Garamond"/>
          <w:sz w:val="25"/>
          <w:szCs w:val="25"/>
        </w:rPr>
        <w:t> ;</w:t>
      </w:r>
    </w:p>
    <w:p w:rsidR="007F3089" w:rsidRPr="004B52A3" w:rsidRDefault="007F3089" w:rsidP="00695C67">
      <w:pPr>
        <w:pStyle w:val="Paragraphedeliste"/>
        <w:numPr>
          <w:ilvl w:val="0"/>
          <w:numId w:val="1"/>
        </w:numPr>
        <w:ind w:left="284" w:hanging="284"/>
        <w:jc w:val="both"/>
        <w:rPr>
          <w:rFonts w:ascii="Garamond" w:hAnsi="Garamond"/>
          <w:b/>
          <w:bCs/>
          <w:sz w:val="25"/>
          <w:szCs w:val="25"/>
        </w:rPr>
      </w:pPr>
      <w:r w:rsidRPr="004B52A3">
        <w:rPr>
          <w:rFonts w:ascii="Garamond" w:hAnsi="Garamond"/>
          <w:b/>
          <w:bCs/>
          <w:sz w:val="25"/>
          <w:szCs w:val="25"/>
        </w:rPr>
        <w:t>Sursoir à la décision des autorités marocaines sur l’octroi de nouvelles plaques minéralogiques</w:t>
      </w:r>
      <w:r w:rsidRPr="004B52A3">
        <w:rPr>
          <w:rFonts w:ascii="Garamond" w:hAnsi="Garamond"/>
          <w:sz w:val="25"/>
          <w:szCs w:val="25"/>
        </w:rPr>
        <w:t xml:space="preserve"> à certains responsables de la MINURSO</w:t>
      </w:r>
      <w:r w:rsidR="00500CA3" w:rsidRPr="004B52A3">
        <w:rPr>
          <w:rFonts w:ascii="Garamond" w:hAnsi="Garamond"/>
          <w:sz w:val="25"/>
          <w:szCs w:val="25"/>
        </w:rPr>
        <w:t>. Il y a lieu de rappeler que l’article 10 du Sofa demande simplement que « </w:t>
      </w:r>
      <w:r w:rsidR="00500CA3" w:rsidRPr="004B52A3">
        <w:rPr>
          <w:rFonts w:ascii="Garamond" w:hAnsi="Garamond"/>
          <w:i/>
          <w:iCs/>
          <w:sz w:val="25"/>
          <w:szCs w:val="25"/>
        </w:rPr>
        <w:t>les véhicules […] de la Minurso portent u</w:t>
      </w:r>
      <w:r w:rsidR="00500CA3" w:rsidRPr="004B52A3">
        <w:rPr>
          <w:rFonts w:ascii="Garamond" w:hAnsi="Garamond"/>
          <w:i/>
          <w:iCs/>
          <w:sz w:val="25"/>
          <w:szCs w:val="25"/>
          <w:u w:val="single"/>
        </w:rPr>
        <w:t>ne marque distinctive des Nations Unies</w:t>
      </w:r>
      <w:r w:rsidR="00500CA3" w:rsidRPr="004B52A3">
        <w:rPr>
          <w:rFonts w:ascii="Garamond" w:hAnsi="Garamond"/>
          <w:i/>
          <w:iCs/>
          <w:sz w:val="25"/>
          <w:szCs w:val="25"/>
        </w:rPr>
        <w:t>, dont il est donné notification au Gouvernement</w:t>
      </w:r>
      <w:r w:rsidR="00500CA3" w:rsidRPr="004B52A3">
        <w:rPr>
          <w:rFonts w:ascii="Garamond" w:hAnsi="Garamond"/>
          <w:sz w:val="25"/>
          <w:szCs w:val="25"/>
        </w:rPr>
        <w:t xml:space="preserve"> ». Cette exigence est remplie par la seule mention UN portée par les véhicules de la Minurso. </w:t>
      </w:r>
      <w:r w:rsidR="00500CA3" w:rsidRPr="004B52A3">
        <w:rPr>
          <w:rFonts w:ascii="Garamond" w:hAnsi="Garamond"/>
          <w:b/>
          <w:bCs/>
          <w:sz w:val="25"/>
          <w:szCs w:val="25"/>
        </w:rPr>
        <w:t>Le Maroc n’est pas obligé, d’un point de vue légal, à faire davantage de concessions.</w:t>
      </w:r>
    </w:p>
    <w:p w:rsidR="007F3089" w:rsidRPr="000A29A7" w:rsidRDefault="007F3089" w:rsidP="00695C67">
      <w:pPr>
        <w:pStyle w:val="Paragraphedeliste"/>
        <w:numPr>
          <w:ilvl w:val="0"/>
          <w:numId w:val="1"/>
        </w:numPr>
        <w:ind w:left="284" w:hanging="284"/>
        <w:jc w:val="both"/>
        <w:rPr>
          <w:rFonts w:ascii="Garamond" w:hAnsi="Garamond"/>
          <w:sz w:val="25"/>
          <w:szCs w:val="25"/>
        </w:rPr>
      </w:pPr>
      <w:r w:rsidRPr="004B52A3">
        <w:rPr>
          <w:rFonts w:ascii="Garamond" w:hAnsi="Garamond"/>
          <w:b/>
          <w:bCs/>
          <w:sz w:val="25"/>
          <w:szCs w:val="25"/>
        </w:rPr>
        <w:t>Instruire les services de sécurité au Sahara d’éviter toute complaisance ou souplesse vis-à-vis des membres de la MINURSO, en procédant à l’application de la loi et la réglementation en vigueur ;</w:t>
      </w:r>
    </w:p>
    <w:p w:rsidR="000A29A7" w:rsidRDefault="000A29A7" w:rsidP="000A29A7">
      <w:pPr>
        <w:pStyle w:val="Paragraphedeliste"/>
        <w:ind w:left="284"/>
        <w:jc w:val="both"/>
        <w:rPr>
          <w:rFonts w:ascii="Garamond" w:hAnsi="Garamond"/>
          <w:sz w:val="25"/>
          <w:szCs w:val="25"/>
        </w:rPr>
      </w:pPr>
    </w:p>
    <w:p w:rsidR="00BD1150" w:rsidRDefault="00BD1150" w:rsidP="000A29A7">
      <w:pPr>
        <w:pStyle w:val="Paragraphedeliste"/>
        <w:ind w:left="284"/>
        <w:jc w:val="both"/>
        <w:rPr>
          <w:rFonts w:ascii="Garamond" w:hAnsi="Garamond"/>
          <w:sz w:val="25"/>
          <w:szCs w:val="25"/>
        </w:rPr>
      </w:pPr>
    </w:p>
    <w:p w:rsidR="00BD1150" w:rsidRPr="004B52A3" w:rsidRDefault="00BD1150" w:rsidP="000A29A7">
      <w:pPr>
        <w:pStyle w:val="Paragraphedeliste"/>
        <w:ind w:left="284"/>
        <w:jc w:val="both"/>
        <w:rPr>
          <w:rFonts w:ascii="Garamond" w:hAnsi="Garamond"/>
          <w:sz w:val="25"/>
          <w:szCs w:val="25"/>
        </w:rPr>
      </w:pPr>
    </w:p>
    <w:p w:rsidR="00A77263" w:rsidRPr="004B52A3" w:rsidRDefault="00500CA3" w:rsidP="00695C67">
      <w:pPr>
        <w:pStyle w:val="Paragraphedeliste"/>
        <w:numPr>
          <w:ilvl w:val="0"/>
          <w:numId w:val="1"/>
        </w:numPr>
        <w:ind w:left="284" w:hanging="284"/>
        <w:jc w:val="both"/>
        <w:rPr>
          <w:rFonts w:ascii="Garamond" w:hAnsi="Garamond"/>
          <w:sz w:val="25"/>
          <w:szCs w:val="25"/>
        </w:rPr>
      </w:pPr>
      <w:r w:rsidRPr="004B52A3">
        <w:rPr>
          <w:rFonts w:ascii="Garamond" w:hAnsi="Garamond"/>
          <w:b/>
          <w:bCs/>
          <w:sz w:val="25"/>
          <w:szCs w:val="25"/>
        </w:rPr>
        <w:lastRenderedPageBreak/>
        <w:t>Imposer des restrictions à l</w:t>
      </w:r>
      <w:r w:rsidR="00A77263" w:rsidRPr="004B52A3">
        <w:rPr>
          <w:rFonts w:ascii="Garamond" w:hAnsi="Garamond"/>
          <w:b/>
          <w:bCs/>
          <w:sz w:val="25"/>
          <w:szCs w:val="25"/>
        </w:rPr>
        <w:t>’octroi des franchises</w:t>
      </w:r>
      <w:r w:rsidR="00A77263" w:rsidRPr="004B52A3">
        <w:rPr>
          <w:rFonts w:ascii="Garamond" w:hAnsi="Garamond"/>
          <w:sz w:val="25"/>
          <w:szCs w:val="25"/>
        </w:rPr>
        <w:t xml:space="preserve"> pour l’importation des biens destinés à l’usage et à la revente dans les économats de la MINURSO</w:t>
      </w:r>
      <w:r w:rsidRPr="004B52A3">
        <w:rPr>
          <w:rFonts w:ascii="Garamond" w:hAnsi="Garamond"/>
          <w:sz w:val="25"/>
          <w:szCs w:val="25"/>
        </w:rPr>
        <w:t xml:space="preserve">. </w:t>
      </w:r>
      <w:r w:rsidRPr="004B52A3">
        <w:rPr>
          <w:rFonts w:ascii="Garamond" w:hAnsi="Garamond"/>
          <w:b/>
          <w:bCs/>
          <w:sz w:val="25"/>
          <w:szCs w:val="25"/>
        </w:rPr>
        <w:t>Ces restrictions peuvent prendre la forme de quotas, de plafonds ou de prolongement de délais de traitement des demandes de franchise.</w:t>
      </w:r>
    </w:p>
    <w:p w:rsidR="00500CA3" w:rsidRPr="004B52A3" w:rsidRDefault="00500CA3" w:rsidP="00695C67">
      <w:pPr>
        <w:pStyle w:val="Paragraphedeliste"/>
        <w:numPr>
          <w:ilvl w:val="0"/>
          <w:numId w:val="1"/>
        </w:numPr>
        <w:ind w:left="284" w:hanging="284"/>
        <w:jc w:val="both"/>
        <w:rPr>
          <w:rFonts w:ascii="Garamond" w:hAnsi="Garamond"/>
          <w:sz w:val="25"/>
          <w:szCs w:val="25"/>
        </w:rPr>
      </w:pPr>
      <w:r w:rsidRPr="004B52A3">
        <w:rPr>
          <w:rFonts w:ascii="Garamond" w:hAnsi="Garamond"/>
          <w:sz w:val="25"/>
          <w:szCs w:val="25"/>
        </w:rPr>
        <w:t>L’article 15 prévoit une exonération au profit des membres et des contractants de la Minurso, de tous « </w:t>
      </w:r>
      <w:r w:rsidRPr="004B52A3">
        <w:rPr>
          <w:rFonts w:ascii="Garamond" w:hAnsi="Garamond"/>
          <w:i/>
          <w:iCs/>
          <w:sz w:val="25"/>
          <w:szCs w:val="25"/>
        </w:rPr>
        <w:t>droits, péages ou taxes, y compris les droits de quai</w:t>
      </w:r>
      <w:r w:rsidRPr="004B52A3">
        <w:rPr>
          <w:rFonts w:ascii="Garamond" w:hAnsi="Garamond"/>
          <w:sz w:val="25"/>
          <w:szCs w:val="25"/>
        </w:rPr>
        <w:t> », sauf lorsque ceux-ci correspondent à la rémunération de services rendus. Ces exonération pourraient être révoquées ou restreintes, au motif qu’elles correspondent à des « </w:t>
      </w:r>
      <w:r w:rsidRPr="004B52A3">
        <w:rPr>
          <w:rFonts w:ascii="Garamond" w:hAnsi="Garamond"/>
          <w:i/>
          <w:iCs/>
          <w:sz w:val="25"/>
          <w:szCs w:val="25"/>
        </w:rPr>
        <w:t>services rendus</w:t>
      </w:r>
      <w:r w:rsidRPr="004B52A3">
        <w:rPr>
          <w:rFonts w:ascii="Garamond" w:hAnsi="Garamond"/>
          <w:sz w:val="25"/>
          <w:szCs w:val="25"/>
        </w:rPr>
        <w:t> ».</w:t>
      </w:r>
      <w:r w:rsidR="00895CBE" w:rsidRPr="004B52A3">
        <w:rPr>
          <w:rFonts w:ascii="Garamond" w:hAnsi="Garamond"/>
          <w:sz w:val="25"/>
          <w:szCs w:val="25"/>
        </w:rPr>
        <w:t xml:space="preserve"> </w:t>
      </w:r>
      <w:r w:rsidR="00895CBE" w:rsidRPr="004B52A3">
        <w:rPr>
          <w:rFonts w:ascii="Garamond" w:hAnsi="Garamond"/>
          <w:b/>
          <w:bCs/>
          <w:sz w:val="25"/>
          <w:szCs w:val="25"/>
        </w:rPr>
        <w:t>Vu que les délais sans laissés vagues, rien n’empêche les autorités nationales compétentes à les prolonger ou les traiter de manière peu diligente.</w:t>
      </w:r>
    </w:p>
    <w:p w:rsidR="00895CBE" w:rsidRPr="004B52A3" w:rsidRDefault="00895CBE" w:rsidP="00695C67">
      <w:pPr>
        <w:pStyle w:val="Paragraphedeliste"/>
        <w:numPr>
          <w:ilvl w:val="0"/>
          <w:numId w:val="1"/>
        </w:numPr>
        <w:ind w:left="284" w:hanging="284"/>
        <w:jc w:val="both"/>
        <w:rPr>
          <w:rFonts w:ascii="Garamond" w:hAnsi="Garamond"/>
          <w:b/>
          <w:bCs/>
          <w:sz w:val="25"/>
          <w:szCs w:val="25"/>
        </w:rPr>
      </w:pPr>
      <w:r w:rsidRPr="004B52A3">
        <w:rPr>
          <w:rFonts w:ascii="Garamond" w:hAnsi="Garamond"/>
          <w:sz w:val="25"/>
          <w:szCs w:val="25"/>
        </w:rPr>
        <w:t xml:space="preserve">L’article 23 engage le Maroc à « aider de son mieux » la Minurso à se procurer les équipements à usage officiel, en franchise de taxes. </w:t>
      </w:r>
      <w:r w:rsidRPr="004B52A3">
        <w:rPr>
          <w:rFonts w:ascii="Garamond" w:hAnsi="Garamond"/>
          <w:b/>
          <w:bCs/>
          <w:sz w:val="25"/>
          <w:szCs w:val="25"/>
        </w:rPr>
        <w:t>Cet engagement peut être restreint, à travers la mise en place de quotas ou seuils élevés de remboursement ou d’exonération des taxes.</w:t>
      </w:r>
    </w:p>
    <w:p w:rsidR="00895CBE" w:rsidRPr="004B52A3" w:rsidRDefault="00895CBE" w:rsidP="00695C67">
      <w:pPr>
        <w:pStyle w:val="Paragraphedeliste"/>
        <w:numPr>
          <w:ilvl w:val="0"/>
          <w:numId w:val="1"/>
        </w:numPr>
        <w:ind w:left="284" w:hanging="284"/>
        <w:jc w:val="both"/>
        <w:rPr>
          <w:rFonts w:ascii="Garamond" w:hAnsi="Garamond"/>
          <w:b/>
          <w:bCs/>
          <w:sz w:val="25"/>
          <w:szCs w:val="25"/>
        </w:rPr>
      </w:pPr>
      <w:r w:rsidRPr="004B52A3">
        <w:rPr>
          <w:rFonts w:ascii="Garamond" w:hAnsi="Garamond"/>
          <w:sz w:val="25"/>
          <w:szCs w:val="25"/>
        </w:rPr>
        <w:t>L’article 17 prévoit que « </w:t>
      </w:r>
      <w:r w:rsidRPr="004B52A3">
        <w:rPr>
          <w:rFonts w:ascii="Garamond" w:hAnsi="Garamond"/>
          <w:i/>
          <w:iCs/>
          <w:sz w:val="25"/>
          <w:szCs w:val="25"/>
        </w:rPr>
        <w:t xml:space="preserve">la Minurso et le Gouvernement </w:t>
      </w:r>
      <w:r w:rsidRPr="004B52A3">
        <w:rPr>
          <w:rFonts w:ascii="Garamond" w:hAnsi="Garamond"/>
          <w:i/>
          <w:iCs/>
          <w:sz w:val="25"/>
          <w:szCs w:val="25"/>
          <w:u w:val="single"/>
        </w:rPr>
        <w:t>conviendront d’une procédure mutuellement satisfaisante</w:t>
      </w:r>
      <w:r w:rsidRPr="004B52A3">
        <w:rPr>
          <w:rFonts w:ascii="Garamond" w:hAnsi="Garamond"/>
          <w:i/>
          <w:iCs/>
          <w:sz w:val="25"/>
          <w:szCs w:val="25"/>
        </w:rPr>
        <w:t>, notamment en matière d’écriture, pour que les opérations d’importation, de dédouanement, de transfert ou d’exportation s’accomplissent dans les meilleurs délais</w:t>
      </w:r>
      <w:r w:rsidRPr="004B52A3">
        <w:rPr>
          <w:rFonts w:ascii="Garamond" w:hAnsi="Garamond"/>
          <w:sz w:val="25"/>
          <w:szCs w:val="25"/>
        </w:rPr>
        <w:t xml:space="preserve"> ». </w:t>
      </w:r>
      <w:r w:rsidRPr="004B52A3">
        <w:rPr>
          <w:rFonts w:ascii="Garamond" w:hAnsi="Garamond"/>
          <w:b/>
          <w:bCs/>
          <w:sz w:val="25"/>
          <w:szCs w:val="25"/>
        </w:rPr>
        <w:t>Vu que les délais sans laissés vagues, rien n’empêche les autorités nationales compétentes à les prolonger ou les traiter de manière peu diligente.</w:t>
      </w:r>
    </w:p>
    <w:p w:rsidR="00895CBE" w:rsidRPr="004B52A3" w:rsidRDefault="00895CBE" w:rsidP="00695C67">
      <w:pPr>
        <w:pStyle w:val="Paragraphedeliste"/>
        <w:numPr>
          <w:ilvl w:val="0"/>
          <w:numId w:val="1"/>
        </w:numPr>
        <w:ind w:left="284" w:hanging="284"/>
        <w:jc w:val="both"/>
        <w:rPr>
          <w:rFonts w:ascii="Garamond" w:hAnsi="Garamond"/>
          <w:b/>
          <w:bCs/>
          <w:sz w:val="25"/>
          <w:szCs w:val="25"/>
        </w:rPr>
      </w:pPr>
      <w:r w:rsidRPr="004B52A3">
        <w:rPr>
          <w:rFonts w:ascii="Garamond" w:hAnsi="Garamond"/>
          <w:sz w:val="25"/>
          <w:szCs w:val="25"/>
        </w:rPr>
        <w:t xml:space="preserve">Sans enfreindre l’article 35 du Sofa, les autorités marocaines peuvent imposer des restrictions sur l’importation en franchise des effets personnels. </w:t>
      </w:r>
      <w:r w:rsidRPr="004B52A3">
        <w:rPr>
          <w:rFonts w:ascii="Garamond" w:hAnsi="Garamond"/>
          <w:b/>
          <w:bCs/>
          <w:sz w:val="25"/>
          <w:szCs w:val="25"/>
        </w:rPr>
        <w:t>Le droit des membres de la Minurso d’importer leurs effets personnels en franchise de douane, peut être restreint par un délai de rigueur, plus ou moins court (2 mois, 3 mois ou 6 mois par exemple), et par un plafond de récurrence (1 seule fois sur la durée de la mission).</w:t>
      </w:r>
    </w:p>
    <w:p w:rsidR="00A77263" w:rsidRPr="004B52A3" w:rsidRDefault="00A77263" w:rsidP="00695C67">
      <w:pPr>
        <w:pStyle w:val="Paragraphedeliste"/>
        <w:numPr>
          <w:ilvl w:val="0"/>
          <w:numId w:val="1"/>
        </w:numPr>
        <w:ind w:left="284" w:hanging="284"/>
        <w:jc w:val="both"/>
        <w:rPr>
          <w:rFonts w:ascii="Garamond" w:hAnsi="Garamond"/>
          <w:sz w:val="25"/>
          <w:szCs w:val="25"/>
        </w:rPr>
      </w:pPr>
      <w:r w:rsidRPr="004B52A3">
        <w:rPr>
          <w:rFonts w:ascii="Garamond" w:hAnsi="Garamond"/>
          <w:b/>
          <w:bCs/>
          <w:sz w:val="25"/>
          <w:szCs w:val="25"/>
        </w:rPr>
        <w:t>Contrôler de manière régulière et stricte</w:t>
      </w:r>
      <w:r w:rsidRPr="004B52A3">
        <w:rPr>
          <w:rFonts w:ascii="Garamond" w:hAnsi="Garamond"/>
          <w:sz w:val="25"/>
          <w:szCs w:val="25"/>
        </w:rPr>
        <w:t xml:space="preserve"> les produits de consommations vendus dans les économats</w:t>
      </w:r>
      <w:r w:rsidR="009D3152" w:rsidRPr="004B52A3">
        <w:rPr>
          <w:rFonts w:ascii="Garamond" w:hAnsi="Garamond"/>
          <w:sz w:val="25"/>
          <w:szCs w:val="25"/>
        </w:rPr>
        <w:t> ;</w:t>
      </w:r>
    </w:p>
    <w:p w:rsidR="009D3152" w:rsidRPr="004B52A3" w:rsidRDefault="00201520" w:rsidP="00695C67">
      <w:pPr>
        <w:pStyle w:val="Paragraphedeliste"/>
        <w:numPr>
          <w:ilvl w:val="0"/>
          <w:numId w:val="1"/>
        </w:numPr>
        <w:ind w:left="284" w:hanging="284"/>
        <w:jc w:val="both"/>
        <w:rPr>
          <w:rFonts w:ascii="Garamond" w:hAnsi="Garamond"/>
          <w:sz w:val="25"/>
          <w:szCs w:val="25"/>
        </w:rPr>
      </w:pPr>
      <w:r w:rsidRPr="004B52A3">
        <w:rPr>
          <w:rFonts w:ascii="Garamond" w:hAnsi="Garamond"/>
          <w:b/>
          <w:bCs/>
          <w:sz w:val="25"/>
          <w:szCs w:val="25"/>
        </w:rPr>
        <w:t xml:space="preserve">Dans le respect de l’article 38 du </w:t>
      </w:r>
      <w:r w:rsidRPr="004B52A3">
        <w:rPr>
          <w:rFonts w:ascii="Garamond" w:hAnsi="Garamond"/>
          <w:b/>
          <w:bCs/>
          <w:smallCaps/>
          <w:sz w:val="25"/>
          <w:szCs w:val="25"/>
        </w:rPr>
        <w:t>Sofa</w:t>
      </w:r>
      <w:r w:rsidRPr="004B52A3">
        <w:rPr>
          <w:rFonts w:ascii="Garamond" w:hAnsi="Garamond"/>
          <w:b/>
          <w:bCs/>
          <w:sz w:val="25"/>
          <w:szCs w:val="25"/>
        </w:rPr>
        <w:t>, l</w:t>
      </w:r>
      <w:r w:rsidR="009D3152" w:rsidRPr="004B52A3">
        <w:rPr>
          <w:rFonts w:ascii="Garamond" w:hAnsi="Garamond"/>
          <w:b/>
          <w:bCs/>
          <w:sz w:val="25"/>
          <w:szCs w:val="25"/>
        </w:rPr>
        <w:t xml:space="preserve">imiter les déplacements des membres de la MINURSO à la zone de mission, </w:t>
      </w:r>
      <w:r w:rsidR="009D3152" w:rsidRPr="004B52A3">
        <w:rPr>
          <w:rFonts w:ascii="Garamond" w:hAnsi="Garamond"/>
          <w:sz w:val="25"/>
          <w:szCs w:val="25"/>
        </w:rPr>
        <w:t>en imposant des demandes au Bureau de coordination pour se rendre en dehors de la zone</w:t>
      </w:r>
      <w:r w:rsidR="009D3152" w:rsidRPr="004B52A3">
        <w:rPr>
          <w:rFonts w:ascii="Garamond" w:hAnsi="Garamond"/>
          <w:b/>
          <w:bCs/>
          <w:sz w:val="25"/>
          <w:szCs w:val="25"/>
        </w:rPr>
        <w:t>.</w:t>
      </w:r>
    </w:p>
    <w:p w:rsidR="00201520" w:rsidRDefault="00201520" w:rsidP="00695C67">
      <w:pPr>
        <w:pStyle w:val="Paragraphedeliste"/>
        <w:numPr>
          <w:ilvl w:val="0"/>
          <w:numId w:val="1"/>
        </w:numPr>
        <w:ind w:left="284" w:hanging="284"/>
        <w:jc w:val="both"/>
        <w:rPr>
          <w:rFonts w:ascii="Garamond" w:hAnsi="Garamond"/>
          <w:sz w:val="25"/>
          <w:szCs w:val="25"/>
        </w:rPr>
      </w:pPr>
      <w:r w:rsidRPr="004B52A3">
        <w:rPr>
          <w:rFonts w:ascii="Garamond" w:hAnsi="Garamond"/>
          <w:b/>
          <w:bCs/>
          <w:sz w:val="25"/>
          <w:szCs w:val="25"/>
        </w:rPr>
        <w:t xml:space="preserve">Imposer des restrictions en matière de changes : </w:t>
      </w:r>
      <w:r w:rsidRPr="004B52A3">
        <w:rPr>
          <w:rFonts w:ascii="Garamond" w:hAnsi="Garamond"/>
          <w:sz w:val="25"/>
          <w:szCs w:val="25"/>
        </w:rPr>
        <w:t>Sans enfreindre l’article 35 du Sofa, la réglementation des changes peut être durcie, par exemple en imposant des procédures particulières pour permettre aux membres de la Minurso d’emporter les sommes d’argent (attestation du RSSG, obligation de justification de la destination pour les montants importants, plafonnement des transferts …).</w:t>
      </w:r>
    </w:p>
    <w:p w:rsidR="004B52A3" w:rsidRPr="00BD1150" w:rsidRDefault="004B52A3" w:rsidP="00695C67">
      <w:pPr>
        <w:pStyle w:val="Paragraphedeliste"/>
        <w:ind w:left="284"/>
        <w:jc w:val="both"/>
        <w:rPr>
          <w:rFonts w:ascii="Garamond" w:hAnsi="Garamond"/>
          <w:b/>
          <w:bCs/>
          <w:sz w:val="12"/>
          <w:szCs w:val="12"/>
        </w:rPr>
      </w:pPr>
    </w:p>
    <w:p w:rsidR="00BD1150" w:rsidRDefault="00BD1150" w:rsidP="00BD1150">
      <w:pPr>
        <w:pStyle w:val="Paragraphedeliste"/>
        <w:numPr>
          <w:ilvl w:val="0"/>
          <w:numId w:val="5"/>
        </w:numPr>
        <w:tabs>
          <w:tab w:val="left" w:pos="709"/>
          <w:tab w:val="left" w:pos="1134"/>
        </w:tabs>
        <w:spacing w:after="0" w:line="240" w:lineRule="auto"/>
        <w:rPr>
          <w:rFonts w:ascii="Garamond" w:hAnsi="Garamond"/>
          <w:b/>
          <w:bCs/>
          <w:smallCaps/>
          <w:sz w:val="28"/>
          <w:szCs w:val="28"/>
          <w:u w:val="single"/>
        </w:rPr>
      </w:pPr>
      <w:r w:rsidRPr="00BD1150">
        <w:rPr>
          <w:rFonts w:ascii="Garamond" w:hAnsi="Garamond"/>
          <w:b/>
          <w:bCs/>
          <w:smallCaps/>
          <w:sz w:val="28"/>
          <w:szCs w:val="28"/>
          <w:u w:val="single"/>
        </w:rPr>
        <w:t xml:space="preserve">Mesures à caractère </w:t>
      </w:r>
      <w:r>
        <w:rPr>
          <w:rFonts w:ascii="Garamond" w:hAnsi="Garamond"/>
          <w:b/>
          <w:bCs/>
          <w:smallCaps/>
          <w:sz w:val="28"/>
          <w:szCs w:val="28"/>
          <w:u w:val="single"/>
        </w:rPr>
        <w:t>logistique</w:t>
      </w:r>
    </w:p>
    <w:p w:rsidR="004B52A3" w:rsidRPr="00BD1150" w:rsidRDefault="004B52A3" w:rsidP="00695C67">
      <w:pPr>
        <w:pStyle w:val="Paragraphedeliste"/>
        <w:ind w:left="284"/>
        <w:jc w:val="both"/>
        <w:rPr>
          <w:rFonts w:ascii="Garamond" w:hAnsi="Garamond"/>
          <w:b/>
          <w:bCs/>
          <w:sz w:val="12"/>
          <w:szCs w:val="12"/>
        </w:rPr>
      </w:pPr>
    </w:p>
    <w:p w:rsidR="00895CBE" w:rsidRPr="004B52A3" w:rsidRDefault="007F3089" w:rsidP="00695C67">
      <w:pPr>
        <w:pStyle w:val="Paragraphedeliste"/>
        <w:numPr>
          <w:ilvl w:val="0"/>
          <w:numId w:val="1"/>
        </w:numPr>
        <w:ind w:left="284" w:hanging="284"/>
        <w:jc w:val="both"/>
        <w:rPr>
          <w:rFonts w:ascii="Garamond" w:hAnsi="Garamond"/>
          <w:sz w:val="25"/>
          <w:szCs w:val="25"/>
        </w:rPr>
      </w:pPr>
      <w:r w:rsidRPr="004B52A3">
        <w:rPr>
          <w:rFonts w:ascii="Garamond" w:hAnsi="Garamond"/>
          <w:b/>
          <w:bCs/>
          <w:sz w:val="25"/>
          <w:szCs w:val="25"/>
        </w:rPr>
        <w:t>Reprise des bâtiments où siège</w:t>
      </w:r>
      <w:r w:rsidR="00895CBE" w:rsidRPr="004B52A3">
        <w:rPr>
          <w:rFonts w:ascii="Garamond" w:hAnsi="Garamond"/>
          <w:b/>
          <w:bCs/>
          <w:sz w:val="25"/>
          <w:szCs w:val="25"/>
        </w:rPr>
        <w:t xml:space="preserve"> </w:t>
      </w:r>
      <w:r w:rsidRPr="004B52A3">
        <w:rPr>
          <w:rFonts w:ascii="Garamond" w:hAnsi="Garamond"/>
          <w:b/>
          <w:bCs/>
          <w:sz w:val="25"/>
          <w:szCs w:val="25"/>
        </w:rPr>
        <w:t>la MINURSO</w:t>
      </w:r>
      <w:r w:rsidRPr="004B52A3">
        <w:rPr>
          <w:rFonts w:ascii="Garamond" w:hAnsi="Garamond"/>
          <w:sz w:val="25"/>
          <w:szCs w:val="25"/>
        </w:rPr>
        <w:t xml:space="preserve"> mis à sa disposition par la municipalité, en examinant les scénarios de son déplacement en dehors de la ville</w:t>
      </w:r>
      <w:r w:rsidR="00895CBE" w:rsidRPr="004B52A3">
        <w:rPr>
          <w:rFonts w:ascii="Garamond" w:hAnsi="Garamond"/>
          <w:sz w:val="25"/>
          <w:szCs w:val="25"/>
        </w:rPr>
        <w:t xml:space="preserve">. Il y a lieu de rappeler que l’article 18 du </w:t>
      </w:r>
      <w:r w:rsidR="00895CBE" w:rsidRPr="004B52A3">
        <w:rPr>
          <w:rFonts w:ascii="Garamond" w:hAnsi="Garamond"/>
          <w:smallCaps/>
          <w:sz w:val="25"/>
          <w:szCs w:val="25"/>
        </w:rPr>
        <w:t>Sofa</w:t>
      </w:r>
      <w:r w:rsidR="00895CBE" w:rsidRPr="004B52A3">
        <w:rPr>
          <w:rFonts w:ascii="Garamond" w:hAnsi="Garamond"/>
          <w:sz w:val="25"/>
          <w:szCs w:val="25"/>
        </w:rPr>
        <w:t> engage du Maroc à fournir à la Minurso des locaux gratuits, recèle une obligation de moyens « </w:t>
      </w:r>
      <w:r w:rsidR="00895CBE" w:rsidRPr="004B52A3">
        <w:rPr>
          <w:rFonts w:ascii="Garamond" w:hAnsi="Garamond"/>
          <w:i/>
          <w:iCs/>
          <w:sz w:val="25"/>
          <w:szCs w:val="25"/>
        </w:rPr>
        <w:t>dans la mesure des possibilités</w:t>
      </w:r>
      <w:r w:rsidR="00895CBE" w:rsidRPr="004B52A3">
        <w:rPr>
          <w:rFonts w:ascii="Garamond" w:hAnsi="Garamond"/>
          <w:sz w:val="25"/>
          <w:szCs w:val="25"/>
        </w:rPr>
        <w:t> » du Gouvernement. Cette réserve permet de remettre en question les avantages qui auraient été consentis à la Minurso en la matière.</w:t>
      </w:r>
    </w:p>
    <w:p w:rsidR="007F3089" w:rsidRPr="004B52A3" w:rsidRDefault="007F3089" w:rsidP="00695C67">
      <w:pPr>
        <w:pStyle w:val="Paragraphedeliste"/>
        <w:numPr>
          <w:ilvl w:val="0"/>
          <w:numId w:val="1"/>
        </w:numPr>
        <w:ind w:left="284" w:hanging="284"/>
        <w:jc w:val="both"/>
        <w:rPr>
          <w:rFonts w:ascii="Garamond" w:hAnsi="Garamond"/>
          <w:sz w:val="25"/>
          <w:szCs w:val="25"/>
        </w:rPr>
      </w:pPr>
      <w:r w:rsidRPr="004B52A3">
        <w:rPr>
          <w:rFonts w:ascii="Garamond" w:hAnsi="Garamond"/>
          <w:b/>
          <w:bCs/>
          <w:sz w:val="25"/>
          <w:szCs w:val="25"/>
        </w:rPr>
        <w:lastRenderedPageBreak/>
        <w:t>Reprise des locaux utilisés par la MINURSO</w:t>
      </w:r>
      <w:r w:rsidR="00895CBE" w:rsidRPr="004B52A3">
        <w:rPr>
          <w:rFonts w:ascii="Garamond" w:hAnsi="Garamond"/>
          <w:sz w:val="25"/>
          <w:szCs w:val="25"/>
        </w:rPr>
        <w:t xml:space="preserve"> pour le dépôt de son matériel. Actuellement concédés par le Maroc à titre gracieux, les autorités pourraient réclamer une contribution financière de la Minurso, notamment au titre de l’entretien des locaux.</w:t>
      </w:r>
    </w:p>
    <w:p w:rsidR="009854D3" w:rsidRPr="004B52A3" w:rsidRDefault="007F3089" w:rsidP="00695C67">
      <w:pPr>
        <w:pStyle w:val="Paragraphedeliste"/>
        <w:numPr>
          <w:ilvl w:val="0"/>
          <w:numId w:val="1"/>
        </w:numPr>
        <w:ind w:left="284" w:hanging="284"/>
        <w:jc w:val="both"/>
        <w:rPr>
          <w:rFonts w:ascii="Garamond" w:hAnsi="Garamond"/>
          <w:sz w:val="25"/>
          <w:szCs w:val="25"/>
        </w:rPr>
      </w:pPr>
      <w:r w:rsidRPr="004B52A3">
        <w:rPr>
          <w:rFonts w:ascii="Garamond" w:hAnsi="Garamond"/>
          <w:sz w:val="25"/>
          <w:szCs w:val="25"/>
        </w:rPr>
        <w:t xml:space="preserve"> </w:t>
      </w:r>
      <w:r w:rsidRPr="004B52A3">
        <w:rPr>
          <w:rFonts w:ascii="Garamond" w:hAnsi="Garamond"/>
          <w:b/>
          <w:bCs/>
          <w:sz w:val="25"/>
          <w:szCs w:val="25"/>
        </w:rPr>
        <w:t>Suppression de tous les avantages en nature</w:t>
      </w:r>
      <w:r w:rsidRPr="004B52A3">
        <w:rPr>
          <w:rFonts w:ascii="Garamond" w:hAnsi="Garamond"/>
          <w:sz w:val="25"/>
          <w:szCs w:val="25"/>
        </w:rPr>
        <w:t>, (restauration, hôtellerie et autres) ;</w:t>
      </w:r>
    </w:p>
    <w:p w:rsidR="007F3089" w:rsidRPr="004B52A3" w:rsidRDefault="00A77263" w:rsidP="00695C67">
      <w:pPr>
        <w:pStyle w:val="Paragraphedeliste"/>
        <w:numPr>
          <w:ilvl w:val="0"/>
          <w:numId w:val="1"/>
        </w:numPr>
        <w:ind w:left="284" w:hanging="284"/>
        <w:jc w:val="both"/>
        <w:rPr>
          <w:rFonts w:ascii="Garamond" w:hAnsi="Garamond"/>
          <w:sz w:val="25"/>
          <w:szCs w:val="25"/>
        </w:rPr>
      </w:pPr>
      <w:r w:rsidRPr="00695C67">
        <w:rPr>
          <w:rFonts w:ascii="Garamond" w:hAnsi="Garamond"/>
          <w:b/>
          <w:bCs/>
          <w:sz w:val="25"/>
          <w:szCs w:val="25"/>
        </w:rPr>
        <w:t>Réviser les tarifs favorables appliqués à la MINURSO s’agissant des services de fourniture de l’eau et de l’électricité</w:t>
      </w:r>
      <w:r w:rsidR="003764A5" w:rsidRPr="00695C67">
        <w:rPr>
          <w:rFonts w:ascii="Garamond" w:hAnsi="Garamond"/>
          <w:b/>
          <w:bCs/>
          <w:sz w:val="25"/>
          <w:szCs w:val="25"/>
        </w:rPr>
        <w:t xml:space="preserve">. </w:t>
      </w:r>
      <w:r w:rsidR="003764A5" w:rsidRPr="004B52A3">
        <w:rPr>
          <w:rFonts w:ascii="Garamond" w:hAnsi="Garamond"/>
          <w:sz w:val="25"/>
          <w:szCs w:val="25"/>
        </w:rPr>
        <w:t xml:space="preserve">Dans le respect de l’article 19 du </w:t>
      </w:r>
      <w:r w:rsidR="003764A5" w:rsidRPr="004B52A3">
        <w:rPr>
          <w:rFonts w:ascii="Garamond" w:hAnsi="Garamond"/>
          <w:smallCaps/>
          <w:sz w:val="25"/>
          <w:szCs w:val="25"/>
        </w:rPr>
        <w:t>Sofa</w:t>
      </w:r>
      <w:r w:rsidR="003764A5" w:rsidRPr="004B52A3">
        <w:rPr>
          <w:rFonts w:ascii="Garamond" w:hAnsi="Garamond"/>
          <w:sz w:val="25"/>
          <w:szCs w:val="25"/>
        </w:rPr>
        <w:t>, rien n’empêche les autorités marocaines à reconsidérer à la hausse les tarifs d’eaux, d’électricité et autres facilités, vu que l’engagement du Gouvernement d’aider la Minurso à les obtenir au meilleur tarif, n’est qu’un engagement de moyens.</w:t>
      </w:r>
    </w:p>
    <w:p w:rsidR="00201520" w:rsidRPr="004B52A3" w:rsidRDefault="00201520" w:rsidP="00695C67">
      <w:pPr>
        <w:pStyle w:val="Paragraphedeliste"/>
        <w:ind w:left="284"/>
        <w:jc w:val="both"/>
        <w:rPr>
          <w:rFonts w:ascii="Garamond" w:hAnsi="Garamond"/>
          <w:sz w:val="25"/>
          <w:szCs w:val="25"/>
        </w:rPr>
      </w:pPr>
    </w:p>
    <w:sectPr w:rsidR="00201520" w:rsidRPr="004B52A3" w:rsidSect="00FA5AF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820" w:rsidRDefault="00446820" w:rsidP="000A29A7">
      <w:pPr>
        <w:spacing w:after="0" w:line="240" w:lineRule="auto"/>
      </w:pPr>
      <w:r>
        <w:separator/>
      </w:r>
    </w:p>
  </w:endnote>
  <w:endnote w:type="continuationSeparator" w:id="1">
    <w:p w:rsidR="00446820" w:rsidRDefault="00446820" w:rsidP="000A2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563"/>
      <w:docPartObj>
        <w:docPartGallery w:val="Page Numbers (Bottom of Page)"/>
        <w:docPartUnique/>
      </w:docPartObj>
    </w:sdtPr>
    <w:sdtContent>
      <w:p w:rsidR="000A29A7" w:rsidRDefault="000A29A7">
        <w:pPr>
          <w:pStyle w:val="Pieddepage"/>
          <w:jc w:val="center"/>
        </w:pPr>
        <w:fldSimple w:instr=" PAGE   \* MERGEFORMAT ">
          <w:r w:rsidR="00BD1150">
            <w:rPr>
              <w:noProof/>
            </w:rPr>
            <w:t>3</w:t>
          </w:r>
        </w:fldSimple>
      </w:p>
    </w:sdtContent>
  </w:sdt>
  <w:p w:rsidR="000A29A7" w:rsidRDefault="000A29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820" w:rsidRDefault="00446820" w:rsidP="000A29A7">
      <w:pPr>
        <w:spacing w:after="0" w:line="240" w:lineRule="auto"/>
      </w:pPr>
      <w:r>
        <w:separator/>
      </w:r>
    </w:p>
  </w:footnote>
  <w:footnote w:type="continuationSeparator" w:id="1">
    <w:p w:rsidR="00446820" w:rsidRDefault="00446820" w:rsidP="000A29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36759"/>
    <w:multiLevelType w:val="hybridMultilevel"/>
    <w:tmpl w:val="F810034A"/>
    <w:lvl w:ilvl="0" w:tplc="EE4C9D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204E27"/>
    <w:multiLevelType w:val="hybridMultilevel"/>
    <w:tmpl w:val="669CDE22"/>
    <w:lvl w:ilvl="0" w:tplc="5622AD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09757C"/>
    <w:multiLevelType w:val="hybridMultilevel"/>
    <w:tmpl w:val="05AE2D9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nsid w:val="513D4655"/>
    <w:multiLevelType w:val="hybridMultilevel"/>
    <w:tmpl w:val="669CDE22"/>
    <w:lvl w:ilvl="0" w:tplc="5622AD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1123EE8"/>
    <w:multiLevelType w:val="hybridMultilevel"/>
    <w:tmpl w:val="D65037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32B1A4C"/>
    <w:multiLevelType w:val="hybridMultilevel"/>
    <w:tmpl w:val="467C596A"/>
    <w:lvl w:ilvl="0" w:tplc="8AD0EDD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854D3"/>
    <w:rsid w:val="000A29A7"/>
    <w:rsid w:val="000E7B62"/>
    <w:rsid w:val="00201520"/>
    <w:rsid w:val="003764A5"/>
    <w:rsid w:val="00446820"/>
    <w:rsid w:val="004B52A3"/>
    <w:rsid w:val="00500CA3"/>
    <w:rsid w:val="0059503D"/>
    <w:rsid w:val="00695C67"/>
    <w:rsid w:val="007F3089"/>
    <w:rsid w:val="008408D1"/>
    <w:rsid w:val="00895CBE"/>
    <w:rsid w:val="009854D3"/>
    <w:rsid w:val="009D3152"/>
    <w:rsid w:val="00A77263"/>
    <w:rsid w:val="00BD1150"/>
    <w:rsid w:val="00ED5554"/>
    <w:rsid w:val="00F96CE4"/>
    <w:rsid w:val="00FA5A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A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54D3"/>
    <w:pPr>
      <w:ind w:left="720"/>
      <w:contextualSpacing/>
    </w:pPr>
  </w:style>
  <w:style w:type="paragraph" w:styleId="En-tte">
    <w:name w:val="header"/>
    <w:basedOn w:val="Normal"/>
    <w:link w:val="En-tteCar"/>
    <w:uiPriority w:val="99"/>
    <w:semiHidden/>
    <w:unhideWhenUsed/>
    <w:rsid w:val="000A29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A29A7"/>
  </w:style>
  <w:style w:type="paragraph" w:styleId="Pieddepage">
    <w:name w:val="footer"/>
    <w:basedOn w:val="Normal"/>
    <w:link w:val="PieddepageCar"/>
    <w:uiPriority w:val="99"/>
    <w:unhideWhenUsed/>
    <w:rsid w:val="000A2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29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980</Words>
  <Characters>5390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2014-04-22T09:21:00Z</dcterms:created>
  <dcterms:modified xsi:type="dcterms:W3CDTF">2014-04-22T12:06:00Z</dcterms:modified>
</cp:coreProperties>
</file>