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254" w:rsidRPr="00422E02" w:rsidRDefault="00EE06AE" w:rsidP="00EB0875">
      <w:pPr>
        <w:spacing w:line="240" w:lineRule="auto"/>
        <w:jc w:val="both"/>
        <w:rPr>
          <w:b/>
        </w:rPr>
      </w:pPr>
      <w:r w:rsidRPr="00422E02">
        <w:rPr>
          <w:b/>
        </w:rPr>
        <w:t>Résumé de la description du projet d</w:t>
      </w:r>
      <w:r w:rsidR="00422E02" w:rsidRPr="00422E02">
        <w:rPr>
          <w:b/>
        </w:rPr>
        <w:t>’</w:t>
      </w:r>
      <w:r w:rsidRPr="00422E02">
        <w:rPr>
          <w:b/>
        </w:rPr>
        <w:t>intervention d</w:t>
      </w:r>
      <w:r w:rsidR="00422E02" w:rsidRPr="00422E02">
        <w:rPr>
          <w:b/>
        </w:rPr>
        <w:t>’</w:t>
      </w:r>
      <w:r w:rsidRPr="00422E02">
        <w:rPr>
          <w:b/>
        </w:rPr>
        <w:t xml:space="preserve">urgence </w:t>
      </w:r>
    </w:p>
    <w:p w:rsidR="00B16254" w:rsidRPr="00422E02" w:rsidRDefault="00B16254" w:rsidP="00EB0875">
      <w:pPr>
        <w:spacing w:line="240" w:lineRule="auto"/>
        <w:jc w:val="both"/>
        <w:rPr>
          <w:b/>
        </w:rPr>
      </w:pPr>
    </w:p>
    <w:p w:rsidR="00B16254" w:rsidRPr="00422E02" w:rsidRDefault="00B16254" w:rsidP="00EB0875">
      <w:pPr>
        <w:spacing w:line="240" w:lineRule="auto"/>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6300"/>
      </w:tblGrid>
      <w:tr w:rsidR="00B16254" w:rsidRPr="00422E02">
        <w:tc>
          <w:tcPr>
            <w:tcW w:w="3150" w:type="dxa"/>
          </w:tcPr>
          <w:p w:rsidR="00B16254" w:rsidRPr="00422E02" w:rsidRDefault="00EE06AE" w:rsidP="00EB0875">
            <w:pPr>
              <w:spacing w:before="2" w:after="2"/>
              <w:jc w:val="both"/>
            </w:pPr>
            <w:r w:rsidRPr="00422E02">
              <w:t xml:space="preserve">Intitulé du projet </w:t>
            </w:r>
          </w:p>
        </w:tc>
        <w:tc>
          <w:tcPr>
            <w:tcW w:w="6300" w:type="dxa"/>
          </w:tcPr>
          <w:p w:rsidR="00B16254" w:rsidRPr="00422E02" w:rsidRDefault="00B16254" w:rsidP="00EB0875">
            <w:pPr>
              <w:spacing w:before="2" w:after="2"/>
              <w:jc w:val="both"/>
              <w:rPr>
                <w:b/>
              </w:rPr>
            </w:pPr>
          </w:p>
        </w:tc>
      </w:tr>
      <w:tr w:rsidR="00B16254" w:rsidRPr="00422E02">
        <w:tc>
          <w:tcPr>
            <w:tcW w:w="3150" w:type="dxa"/>
          </w:tcPr>
          <w:p w:rsidR="00B16254" w:rsidRPr="00422E02" w:rsidRDefault="00C82B92" w:rsidP="00EB0875">
            <w:pPr>
              <w:spacing w:before="2" w:after="2"/>
              <w:jc w:val="both"/>
            </w:pPr>
            <w:r>
              <w:t>L</w:t>
            </w:r>
            <w:r w:rsidR="00EE06AE" w:rsidRPr="00422E02">
              <w:t>ocalisation du projet</w:t>
            </w:r>
          </w:p>
        </w:tc>
        <w:tc>
          <w:tcPr>
            <w:tcW w:w="6300" w:type="dxa"/>
          </w:tcPr>
          <w:p w:rsidR="00B16254" w:rsidRPr="00422E02" w:rsidRDefault="00B16254" w:rsidP="00EB0875">
            <w:pPr>
              <w:spacing w:before="2" w:after="2"/>
              <w:jc w:val="both"/>
            </w:pPr>
          </w:p>
        </w:tc>
      </w:tr>
      <w:tr w:rsidR="00B16254" w:rsidRPr="00422E02">
        <w:tc>
          <w:tcPr>
            <w:tcW w:w="3150" w:type="dxa"/>
          </w:tcPr>
          <w:p w:rsidR="00B16254" w:rsidRPr="00422E02" w:rsidRDefault="00EE06AE" w:rsidP="00EB0875">
            <w:pPr>
              <w:spacing w:before="2" w:after="2"/>
              <w:jc w:val="both"/>
            </w:pPr>
            <w:r w:rsidRPr="00422E02">
              <w:t>Nom de l</w:t>
            </w:r>
            <w:r w:rsidR="00422E02" w:rsidRPr="00422E02">
              <w:t>’</w:t>
            </w:r>
            <w:r w:rsidRPr="00422E02">
              <w:t>organisation chargée de la mise en œuvre</w:t>
            </w:r>
          </w:p>
        </w:tc>
        <w:tc>
          <w:tcPr>
            <w:tcW w:w="6300" w:type="dxa"/>
          </w:tcPr>
          <w:p w:rsidR="00B16254" w:rsidRPr="00422E02" w:rsidRDefault="00B16254" w:rsidP="00EB0875">
            <w:pPr>
              <w:spacing w:before="2" w:after="2"/>
              <w:jc w:val="both"/>
            </w:pPr>
          </w:p>
        </w:tc>
      </w:tr>
      <w:tr w:rsidR="00B16254" w:rsidRPr="00422E02">
        <w:tc>
          <w:tcPr>
            <w:tcW w:w="3150" w:type="dxa"/>
          </w:tcPr>
          <w:p w:rsidR="00B16254" w:rsidRPr="00422E02" w:rsidRDefault="00EE06AE" w:rsidP="00EB0875">
            <w:pPr>
              <w:spacing w:before="2" w:after="2"/>
              <w:jc w:val="both"/>
            </w:pPr>
            <w:r w:rsidRPr="00422E02">
              <w:t>Date de mise en application</w:t>
            </w:r>
          </w:p>
        </w:tc>
        <w:tc>
          <w:tcPr>
            <w:tcW w:w="6300" w:type="dxa"/>
          </w:tcPr>
          <w:p w:rsidR="00B16254" w:rsidRPr="00422E02" w:rsidRDefault="00B16254" w:rsidP="00EB0875">
            <w:pPr>
              <w:spacing w:before="2" w:after="2"/>
              <w:jc w:val="both"/>
            </w:pPr>
          </w:p>
        </w:tc>
      </w:tr>
      <w:tr w:rsidR="00B16254" w:rsidRPr="00422E02">
        <w:tc>
          <w:tcPr>
            <w:tcW w:w="3150" w:type="dxa"/>
          </w:tcPr>
          <w:p w:rsidR="00B16254" w:rsidRPr="00422E02" w:rsidRDefault="00EE06AE" w:rsidP="00EB0875">
            <w:pPr>
              <w:spacing w:before="2" w:after="2"/>
              <w:jc w:val="both"/>
            </w:pPr>
            <w:r w:rsidRPr="00422E02">
              <w:t>Date de début du projet</w:t>
            </w:r>
          </w:p>
        </w:tc>
        <w:tc>
          <w:tcPr>
            <w:tcW w:w="6300" w:type="dxa"/>
          </w:tcPr>
          <w:p w:rsidR="00B16254" w:rsidRPr="00422E02" w:rsidRDefault="00B16254" w:rsidP="00EB0875">
            <w:pPr>
              <w:spacing w:before="2" w:after="2"/>
              <w:jc w:val="both"/>
            </w:pPr>
          </w:p>
        </w:tc>
      </w:tr>
      <w:tr w:rsidR="00B16254" w:rsidRPr="00422E02">
        <w:tc>
          <w:tcPr>
            <w:tcW w:w="3150" w:type="dxa"/>
          </w:tcPr>
          <w:p w:rsidR="00B16254" w:rsidRPr="00422E02" w:rsidRDefault="00EE06AE" w:rsidP="00EB0875">
            <w:pPr>
              <w:spacing w:before="2" w:after="2"/>
              <w:jc w:val="both"/>
            </w:pPr>
            <w:r w:rsidRPr="00422E02">
              <w:t xml:space="preserve">Durée du projet </w:t>
            </w:r>
          </w:p>
        </w:tc>
        <w:tc>
          <w:tcPr>
            <w:tcW w:w="6300" w:type="dxa"/>
          </w:tcPr>
          <w:p w:rsidR="00B16254" w:rsidRPr="00422E02" w:rsidRDefault="00B16254" w:rsidP="00EB0875">
            <w:pPr>
              <w:spacing w:before="2" w:after="2"/>
              <w:jc w:val="both"/>
            </w:pPr>
          </w:p>
        </w:tc>
      </w:tr>
      <w:tr w:rsidR="00B16254" w:rsidRPr="00422E02">
        <w:tc>
          <w:tcPr>
            <w:tcW w:w="3150" w:type="dxa"/>
          </w:tcPr>
          <w:p w:rsidR="00B16254" w:rsidRPr="00422E02" w:rsidRDefault="00EE06AE" w:rsidP="00EB0875">
            <w:pPr>
              <w:spacing w:before="2" w:after="2"/>
              <w:jc w:val="both"/>
            </w:pPr>
            <w:r w:rsidRPr="00422E02">
              <w:t>Nombre estimé de bénéficiaires</w:t>
            </w:r>
          </w:p>
        </w:tc>
        <w:tc>
          <w:tcPr>
            <w:tcW w:w="6300" w:type="dxa"/>
          </w:tcPr>
          <w:p w:rsidR="00B16254" w:rsidRPr="00422E02" w:rsidRDefault="00B16254" w:rsidP="00EB0875">
            <w:pPr>
              <w:spacing w:before="2" w:after="2"/>
              <w:jc w:val="both"/>
            </w:pPr>
          </w:p>
        </w:tc>
      </w:tr>
      <w:tr w:rsidR="00B16254" w:rsidRPr="00422E02">
        <w:tc>
          <w:tcPr>
            <w:tcW w:w="3150" w:type="dxa"/>
          </w:tcPr>
          <w:p w:rsidR="00B16254" w:rsidRPr="00422E02" w:rsidRDefault="00EE06AE" w:rsidP="00EB0875">
            <w:pPr>
              <w:spacing w:before="2" w:after="2"/>
              <w:jc w:val="both"/>
            </w:pPr>
            <w:r w:rsidRPr="00422E02">
              <w:t>Budget total</w:t>
            </w:r>
          </w:p>
        </w:tc>
        <w:tc>
          <w:tcPr>
            <w:tcW w:w="6300" w:type="dxa"/>
          </w:tcPr>
          <w:p w:rsidR="00B16254" w:rsidRPr="00422E02" w:rsidRDefault="00B16254" w:rsidP="00EB0875">
            <w:pPr>
              <w:spacing w:before="2" w:after="2"/>
              <w:jc w:val="both"/>
            </w:pPr>
          </w:p>
        </w:tc>
      </w:tr>
    </w:tbl>
    <w:p w:rsidR="00B16254" w:rsidRPr="00422E02" w:rsidRDefault="00B16254" w:rsidP="00EB0875">
      <w:pPr>
        <w:spacing w:line="240" w:lineRule="auto"/>
        <w:jc w:val="both"/>
      </w:pPr>
    </w:p>
    <w:p w:rsidR="00B16254" w:rsidRPr="00422E02" w:rsidRDefault="00B16254" w:rsidP="00EB0875">
      <w:pPr>
        <w:spacing w:line="240" w:lineRule="auto"/>
        <w:jc w:val="both"/>
      </w:pPr>
    </w:p>
    <w:p w:rsidR="00B16254" w:rsidRPr="00422E02" w:rsidRDefault="00EE06AE" w:rsidP="00EB0875">
      <w:pPr>
        <w:numPr>
          <w:ilvl w:val="0"/>
          <w:numId w:val="1"/>
        </w:numPr>
        <w:tabs>
          <w:tab w:val="clear" w:pos="720"/>
        </w:tabs>
        <w:spacing w:line="240" w:lineRule="auto"/>
        <w:ind w:left="360"/>
        <w:jc w:val="both"/>
        <w:rPr>
          <w:b/>
          <w:u w:val="single"/>
        </w:rPr>
      </w:pPr>
      <w:r w:rsidRPr="00422E02">
        <w:rPr>
          <w:b/>
          <w:u w:val="single"/>
        </w:rPr>
        <w:t>RÉPONSE PROPOSÉE</w:t>
      </w:r>
    </w:p>
    <w:p w:rsidR="00B16254" w:rsidRPr="00422E02" w:rsidRDefault="00B16254" w:rsidP="00EB0875">
      <w:pPr>
        <w:jc w:val="both"/>
        <w:rPr>
          <w:u w:val="single"/>
        </w:rPr>
      </w:pPr>
    </w:p>
    <w:p w:rsidR="00B16254" w:rsidRPr="00422E02" w:rsidRDefault="00EE06AE" w:rsidP="00EB0875">
      <w:pPr>
        <w:jc w:val="both"/>
        <w:rPr>
          <w:b/>
        </w:rPr>
      </w:pPr>
      <w:r w:rsidRPr="00422E02">
        <w:rPr>
          <w:b/>
        </w:rPr>
        <w:t>3.1 Objectifs du projet, bénéficiaires, localisation</w:t>
      </w:r>
    </w:p>
    <w:p w:rsidR="00B16254" w:rsidRPr="00422E02" w:rsidRDefault="00B16254" w:rsidP="00EB0875">
      <w:pPr>
        <w:jc w:val="both"/>
        <w:rPr>
          <w:b/>
        </w:rPr>
      </w:pPr>
    </w:p>
    <w:p w:rsidR="00B16254" w:rsidRPr="00422E02" w:rsidRDefault="00EE06AE" w:rsidP="00EB0875">
      <w:pPr>
        <w:jc w:val="both"/>
      </w:pPr>
      <w:r w:rsidRPr="00422E02">
        <w:t xml:space="preserve">Ce projet vise à : </w:t>
      </w:r>
    </w:p>
    <w:p w:rsidR="00B16254" w:rsidRPr="00422E02" w:rsidRDefault="00B16254" w:rsidP="00EB0875">
      <w:pPr>
        <w:jc w:val="both"/>
      </w:pPr>
    </w:p>
    <w:p w:rsidR="00B16254" w:rsidRPr="00422E02" w:rsidRDefault="00EE06AE" w:rsidP="00EB0875">
      <w:pPr>
        <w:jc w:val="both"/>
      </w:pPr>
      <w:r w:rsidRPr="00422E02">
        <w:t>« </w:t>
      </w:r>
      <w:r w:rsidRPr="00422E02">
        <w:rPr>
          <w:b/>
        </w:rPr>
        <w:t>Soutenir les organisations à base communautaire (OBC) et les groupes d</w:t>
      </w:r>
      <w:r w:rsidR="00422E02" w:rsidRPr="00422E02">
        <w:rPr>
          <w:b/>
        </w:rPr>
        <w:t>’</w:t>
      </w:r>
      <w:r w:rsidRPr="00422E02">
        <w:rPr>
          <w:b/>
        </w:rPr>
        <w:t>entraide (GE) au sein des communautés affectées par la catastrophe en fournissant des interventions de secours d</w:t>
      </w:r>
      <w:r w:rsidR="00422E02" w:rsidRPr="00422E02">
        <w:rPr>
          <w:b/>
        </w:rPr>
        <w:t>’</w:t>
      </w:r>
      <w:r w:rsidRPr="00422E02">
        <w:rPr>
          <w:b/>
        </w:rPr>
        <w:t xml:space="preserve">urgence rapides, efficaces, performantes, responsables et coordonnées aux plus démunis à </w:t>
      </w:r>
      <w:r w:rsidRPr="00422E02">
        <w:rPr>
          <w:i/>
          <w:color w:val="FF0000"/>
        </w:rPr>
        <w:t>insérez le nom du village/de la zone/province/région/du pays ciblé(e)</w:t>
      </w:r>
      <w:r w:rsidR="00C82B92">
        <w:rPr>
          <w:i/>
          <w:color w:val="FF0000"/>
        </w:rPr>
        <w:t> </w:t>
      </w:r>
      <w:r w:rsidRPr="00422E02">
        <w:rPr>
          <w:b/>
        </w:rPr>
        <w:t>de telle sorte que les communautés affectées puissent répondre à la fois aux besoins immédiats et être mieux à même de contribuer à la préparation et à l</w:t>
      </w:r>
      <w:r w:rsidR="00422E02" w:rsidRPr="00422E02">
        <w:rPr>
          <w:b/>
        </w:rPr>
        <w:t>’</w:t>
      </w:r>
      <w:r w:rsidRPr="00422E02">
        <w:rPr>
          <w:b/>
        </w:rPr>
        <w:t>intervention futures en cas de catastrophe ».</w:t>
      </w:r>
      <w:r w:rsidRPr="00422E02">
        <w:t xml:space="preserve">   </w:t>
      </w:r>
    </w:p>
    <w:p w:rsidR="00B16254" w:rsidRPr="00422E02" w:rsidRDefault="00B16254" w:rsidP="00EB0875">
      <w:pPr>
        <w:jc w:val="both"/>
      </w:pPr>
    </w:p>
    <w:p w:rsidR="00B16254" w:rsidRPr="00422E02" w:rsidRDefault="00EE06AE" w:rsidP="00EB0875">
      <w:pPr>
        <w:ind w:left="270" w:hanging="270"/>
        <w:jc w:val="both"/>
      </w:pPr>
      <w:r w:rsidRPr="00422E02">
        <w:t>Les résultats escomptés de l</w:t>
      </w:r>
      <w:r w:rsidR="00422E02" w:rsidRPr="00422E02">
        <w:t>’</w:t>
      </w:r>
      <w:r w:rsidRPr="00422E02">
        <w:t>intervention sont les suivants :</w:t>
      </w:r>
    </w:p>
    <w:p w:rsidR="00B16254" w:rsidRPr="00422E02" w:rsidRDefault="00EE06AE" w:rsidP="00EB0875">
      <w:pPr>
        <w:pStyle w:val="ListParagraph"/>
        <w:numPr>
          <w:ilvl w:val="0"/>
          <w:numId w:val="21"/>
        </w:numPr>
        <w:jc w:val="both"/>
      </w:pPr>
      <w:r w:rsidRPr="00422E02">
        <w:t>Jusqu</w:t>
      </w:r>
      <w:r w:rsidR="00422E02" w:rsidRPr="00422E02">
        <w:t>’</w:t>
      </w:r>
      <w:r w:rsidRPr="00422E02">
        <w:t xml:space="preserve">à </w:t>
      </w:r>
      <w:r w:rsidRPr="00422E02">
        <w:rPr>
          <w:i/>
          <w:color w:val="FF0000"/>
        </w:rPr>
        <w:t>insérez le nombre total escompté de bénéficiaires</w:t>
      </w:r>
      <w:r w:rsidRPr="00422E02">
        <w:t xml:space="preserve"> membres les plus démunis des communautés affectées dans </w:t>
      </w:r>
      <w:r w:rsidRPr="00422E02">
        <w:rPr>
          <w:i/>
          <w:color w:val="FF0000"/>
        </w:rPr>
        <w:t>insérez le nom du village/de la province/région ciblé(e)</w:t>
      </w:r>
      <w:r w:rsidRPr="00422E02">
        <w:t xml:space="preserve"> sont rapidement en mesure de </w:t>
      </w:r>
      <w:r w:rsidR="00B14D63" w:rsidRPr="00422E02">
        <w:t>satisfaire</w:t>
      </w:r>
      <w:r w:rsidRPr="00422E02">
        <w:t xml:space="preserve"> leurs besoins de survie prioritaires et variés pendant une période suffisante pour leur permettre de se stabiliser et au moins d</w:t>
      </w:r>
      <w:r w:rsidR="00422E02" w:rsidRPr="00422E02">
        <w:t>’</w:t>
      </w:r>
      <w:r w:rsidRPr="00422E02">
        <w:t xml:space="preserve">entamer un processus de redressement visant à leur permettre de retrouver leur autonomie. </w:t>
      </w:r>
    </w:p>
    <w:p w:rsidR="00B16254" w:rsidRPr="00422E02" w:rsidRDefault="00EE06AE" w:rsidP="00EB0875">
      <w:pPr>
        <w:pStyle w:val="ListParagraph"/>
        <w:numPr>
          <w:ilvl w:val="0"/>
          <w:numId w:val="21"/>
        </w:numPr>
        <w:jc w:val="both"/>
      </w:pPr>
      <w:r w:rsidRPr="00422E02">
        <w:t>Les communautés ciblées affectées par la crise bénéficient d</w:t>
      </w:r>
      <w:r w:rsidR="00422E02" w:rsidRPr="00422E02">
        <w:t>’</w:t>
      </w:r>
      <w:r w:rsidRPr="00422E02">
        <w:t>un meilleur rétablissement psychosocial, car le sentiment d</w:t>
      </w:r>
      <w:r w:rsidR="00422E02" w:rsidRPr="00422E02">
        <w:t>’</w:t>
      </w:r>
      <w:r w:rsidRPr="00422E02">
        <w:t>accomplissement qu</w:t>
      </w:r>
      <w:r w:rsidR="00422E02" w:rsidRPr="00422E02">
        <w:t>’</w:t>
      </w:r>
      <w:r w:rsidRPr="00422E02">
        <w:t>elles éprouvent grâce à leur propre auto-assistance leur permet de percevoir les agents actifs du changement comme remplaçant ceux des victimes passives qui dépendent de solutions externes.</w:t>
      </w:r>
    </w:p>
    <w:p w:rsidR="00B16254" w:rsidRPr="00422E02" w:rsidRDefault="00EE06AE" w:rsidP="00EB0875">
      <w:pPr>
        <w:pStyle w:val="ListParagraph"/>
        <w:numPr>
          <w:ilvl w:val="0"/>
          <w:numId w:val="21"/>
        </w:numPr>
        <w:jc w:val="both"/>
      </w:pPr>
      <w:r w:rsidRPr="00422E02">
        <w:t>Les organisations à base communautaire et les groupes d</w:t>
      </w:r>
      <w:r w:rsidR="00422E02" w:rsidRPr="00422E02">
        <w:t>’</w:t>
      </w:r>
      <w:r w:rsidRPr="00422E02">
        <w:t>entraide des communautés affectées par la catastrophe ont renforcé leur confiance en eux et leur capacité à identifier, planifier, mettre en œuvre et tirer les leçons de leurs propres interventions qui répondent aux besoins prioritaires des membres les plus vulnérables de leurs communautés grâce une utilisation responsable et rentable de l</w:t>
      </w:r>
      <w:r w:rsidR="00422E02" w:rsidRPr="00422E02">
        <w:t>’</w:t>
      </w:r>
      <w:r w:rsidRPr="00422E02">
        <w:t>aide humanitaire disponible.</w:t>
      </w:r>
    </w:p>
    <w:p w:rsidR="00B16254" w:rsidRPr="00422E02" w:rsidRDefault="00EE06AE" w:rsidP="00EB0875">
      <w:pPr>
        <w:pStyle w:val="ListParagraph"/>
        <w:numPr>
          <w:ilvl w:val="0"/>
          <w:numId w:val="21"/>
        </w:numPr>
        <w:jc w:val="both"/>
      </w:pPr>
      <w:r w:rsidRPr="00422E02">
        <w:t>Par leur implication dans le soutien à une intervention de secours menée par la communauté, les acteurs du gouvernement local sont motivés à explorer d</w:t>
      </w:r>
      <w:r w:rsidR="00422E02" w:rsidRPr="00422E02">
        <w:t>’</w:t>
      </w:r>
      <w:r w:rsidRPr="00422E02">
        <w:t>autres possibilités de soutien du gouvernement aux interventions de redressement menées par la communauté dans les zones ciblées.</w:t>
      </w:r>
    </w:p>
    <w:p w:rsidR="00B16254" w:rsidRPr="00422E02" w:rsidRDefault="00B16254" w:rsidP="00EB0875">
      <w:pPr>
        <w:jc w:val="both"/>
        <w:rPr>
          <w:u w:val="single"/>
        </w:rPr>
      </w:pPr>
    </w:p>
    <w:p w:rsidR="00B16254" w:rsidRPr="00422E02" w:rsidRDefault="00EE06AE" w:rsidP="00EB0875">
      <w:pPr>
        <w:jc w:val="both"/>
      </w:pPr>
      <w:r w:rsidRPr="00422E02">
        <w:t xml:space="preserve">Ce </w:t>
      </w:r>
      <w:r w:rsidR="00B14D63" w:rsidRPr="00422E02">
        <w:t>projet</w:t>
      </w:r>
      <w:r w:rsidRPr="00422E02">
        <w:t xml:space="preserve"> permettra à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non seulement de mettre en place une réponse humanitaire rapide, extrêmement réactive et rentable, mais offrira également une occasion importante d</w:t>
      </w:r>
      <w:r w:rsidR="00422E02" w:rsidRPr="00422E02">
        <w:t>’</w:t>
      </w:r>
      <w:r w:rsidRPr="00422E02">
        <w:t>élaborer des méthodes de travail pratiques pour soutenir les programmes locaux tout en renforçant les capacités sur le terrain des organisations à base communautaire locales. Il est reconnu que ce projet ne contribuera qu</w:t>
      </w:r>
      <w:r w:rsidR="00422E02" w:rsidRPr="00422E02">
        <w:t>’</w:t>
      </w:r>
      <w:r w:rsidRPr="00422E02">
        <w:t>à répondre aux besoins d</w:t>
      </w:r>
      <w:r w:rsidR="00422E02" w:rsidRPr="00422E02">
        <w:t>’</w:t>
      </w:r>
      <w:r w:rsidRPr="00422E02">
        <w:t>un faible pourcentage de ceux qui en ont besoin. S</w:t>
      </w:r>
      <w:r w:rsidR="00422E02" w:rsidRPr="00422E02">
        <w:t>’</w:t>
      </w:r>
      <w:r w:rsidRPr="00422E02">
        <w:t>il est couronné de succès, il vise à permettre une extension possible à un nombre beaucoup plus important de communautés affectées par la crise dans la zone ciblée au cours des prochains mois.</w:t>
      </w:r>
    </w:p>
    <w:p w:rsidR="00B16254" w:rsidRPr="00422E02" w:rsidRDefault="00B16254" w:rsidP="00EB0875">
      <w:pPr>
        <w:jc w:val="both"/>
        <w:rPr>
          <w:u w:val="single"/>
        </w:rPr>
      </w:pPr>
    </w:p>
    <w:p w:rsidR="00B16254" w:rsidRPr="00422E02" w:rsidRDefault="00EE06AE" w:rsidP="00EB0875">
      <w:pPr>
        <w:jc w:val="both"/>
        <w:rPr>
          <w:b/>
        </w:rPr>
      </w:pPr>
      <w:r w:rsidRPr="00422E02">
        <w:rPr>
          <w:b/>
        </w:rPr>
        <w:t>3.2 Approche et logique d</w:t>
      </w:r>
      <w:r w:rsidR="00422E02" w:rsidRPr="00422E02">
        <w:rPr>
          <w:b/>
        </w:rPr>
        <w:t>’</w:t>
      </w:r>
      <w:r w:rsidRPr="00422E02">
        <w:rPr>
          <w:b/>
        </w:rPr>
        <w:t>intervention</w:t>
      </w:r>
    </w:p>
    <w:p w:rsidR="00B16254" w:rsidRPr="00422E02" w:rsidRDefault="00B16254" w:rsidP="00EB0875">
      <w:pPr>
        <w:jc w:val="both"/>
      </w:pPr>
    </w:p>
    <w:p w:rsidR="00B16254" w:rsidRPr="00422E02" w:rsidRDefault="00EE06AE" w:rsidP="00EB0875">
      <w:pPr>
        <w:jc w:val="both"/>
      </w:pPr>
      <w:r w:rsidRPr="00422E02">
        <w:t>L</w:t>
      </w:r>
      <w:r w:rsidR="00422E02" w:rsidRPr="00422E02">
        <w:t>’</w:t>
      </w:r>
      <w:r w:rsidRPr="00422E02">
        <w:t>ONG nationale</w:t>
      </w:r>
      <w:r w:rsidR="00EB0875">
        <w:t>,</w:t>
      </w:r>
      <w:r w:rsidRPr="00422E02">
        <w:t xml:space="preserve">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 + les partenaires locaux si vous travaillez avec eux</w:t>
      </w:r>
      <w:r w:rsidR="00EB0875">
        <w:rPr>
          <w:i/>
          <w:color w:val="FF0000"/>
        </w:rPr>
        <w:t>,</w:t>
      </w:r>
      <w:r w:rsidRPr="00422E02">
        <w:t xml:space="preserve"> adopter</w:t>
      </w:r>
      <w:r w:rsidR="00EB0875">
        <w:t>ont</w:t>
      </w:r>
      <w:r w:rsidRPr="00422E02">
        <w:t xml:space="preserve"> une approche de projet qui aide les collectivités affectées par la crise à accéder rapidement à l</w:t>
      </w:r>
      <w:r w:rsidR="00422E02" w:rsidRPr="00422E02">
        <w:t>’</w:t>
      </w:r>
      <w:r w:rsidRPr="00422E02">
        <w:t xml:space="preserve">information, aux </w:t>
      </w:r>
      <w:r w:rsidRPr="00422E02">
        <w:lastRenderedPageBreak/>
        <w:t>ressources et aux compétences dont elles ont besoin pour tirer parti de leurs points forts afin d</w:t>
      </w:r>
      <w:r w:rsidR="00422E02" w:rsidRPr="00422E02">
        <w:t>’</w:t>
      </w:r>
      <w:r w:rsidRPr="00422E02">
        <w:t xml:space="preserve">établir leurs priorités et de gérer elles-mêmes leurs propres interventions immédiates de secours et de redressement. Cette approche, mise au point par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et ses partenaires d</w:t>
      </w:r>
      <w:r w:rsidR="00EB0875">
        <w:t>u</w:t>
      </w:r>
      <w:r w:rsidRPr="00422E02">
        <w:t xml:space="preserve"> gouvernement local et de la société civile, qui s</w:t>
      </w:r>
      <w:r w:rsidR="00422E02" w:rsidRPr="00422E02">
        <w:t>’</w:t>
      </w:r>
      <w:r w:rsidRPr="00422E02">
        <w:t>appuient sur des pratiques émergentes déjà testées dans d</w:t>
      </w:r>
      <w:r w:rsidR="00422E02" w:rsidRPr="00422E02">
        <w:t>’</w:t>
      </w:r>
      <w:r w:rsidRPr="00422E02">
        <w:t>autres pays</w:t>
      </w:r>
      <w:r w:rsidRPr="00422E02">
        <w:rPr>
          <w:rStyle w:val="FootnoteReference"/>
        </w:rPr>
        <w:footnoteReference w:id="1"/>
      </w:r>
      <w:r w:rsidRPr="00422E02">
        <w:t>, reconnaît le rôle central des personnes confrontées à la catastrophe en tant qu</w:t>
      </w:r>
      <w:r w:rsidR="00422E02" w:rsidRPr="00422E02">
        <w:t>’</w:t>
      </w:r>
      <w:r w:rsidRPr="00422E02">
        <w:t xml:space="preserve">acteurs concernés de première ligne. En permettant aux communautés de mener leurs propres réponses globales à la crise, elle vise à répondre aux priorités humanitaires immédiates tout en renforçant la résilience à long terme. Les cinq composantes essentielles de la méthodologie de travail connue sous le nom de « réponse aux crises menée par les survivants/la communauté » (SCLR) par les OBC et les collectivités locales (UGL) qui ont contribué à la développer ici en </w:t>
      </w:r>
      <w:r w:rsidRPr="00422E02">
        <w:rPr>
          <w:color w:val="FF0000"/>
        </w:rPr>
        <w:t>insérez le pays</w:t>
      </w:r>
      <w:r w:rsidRPr="00422E02">
        <w:t>, peuvent être résumées en 5 composantes interconnectées :</w:t>
      </w:r>
    </w:p>
    <w:p w:rsidR="00B16254" w:rsidRPr="00422E02" w:rsidRDefault="00B16254" w:rsidP="00EB0875">
      <w:pPr>
        <w:jc w:val="both"/>
      </w:pPr>
    </w:p>
    <w:p w:rsidR="00B16254" w:rsidRPr="00422E02" w:rsidRDefault="00EE06AE" w:rsidP="00EB0875">
      <w:pPr>
        <w:ind w:left="540" w:hanging="270"/>
        <w:jc w:val="both"/>
      </w:pPr>
      <w:r w:rsidRPr="00422E02">
        <w:t>i. Aider les communautés à effectuer leur propre analyse de la crise, en utilisant une approche d</w:t>
      </w:r>
      <w:r w:rsidR="00422E02" w:rsidRPr="00422E02">
        <w:t>’</w:t>
      </w:r>
      <w:r w:rsidRPr="00422E02">
        <w:rPr>
          <w:b/>
        </w:rPr>
        <w:t>enquête appréciative</w:t>
      </w:r>
      <w:r w:rsidRPr="00422E02">
        <w:t xml:space="preserve"> axée sur la compréhension des opportunités (et des contraintes) pour renforcer une réponse locale qui s</w:t>
      </w:r>
      <w:r w:rsidR="00422E02" w:rsidRPr="00422E02">
        <w:t>’</w:t>
      </w:r>
      <w:r w:rsidRPr="00422E02">
        <w:t>appuie sur les capacités des survivants qui répondent déjà aux besoins prioritaires au niveau local ;</w:t>
      </w:r>
    </w:p>
    <w:p w:rsidR="00B16254" w:rsidRPr="00422E02" w:rsidRDefault="00EE06AE" w:rsidP="00EB0875">
      <w:pPr>
        <w:ind w:left="540" w:hanging="270"/>
        <w:jc w:val="both"/>
      </w:pPr>
      <w:r w:rsidRPr="00422E02">
        <w:t xml:space="preserve">ii. Octroi de </w:t>
      </w:r>
      <w:r w:rsidR="0089019B">
        <w:t>microfinancements</w:t>
      </w:r>
      <w:r w:rsidRPr="00422E02">
        <w:t xml:space="preserve"> d</w:t>
      </w:r>
      <w:r w:rsidR="0089019B">
        <w:t>’</w:t>
      </w:r>
      <w:r w:rsidRPr="00422E02">
        <w:rPr>
          <w:b/>
        </w:rPr>
        <w:t>urgence</w:t>
      </w:r>
      <w:r w:rsidRPr="00422E02">
        <w:t xml:space="preserve"> rapides à des OBC et à des GE sélectionnés et approuvés par des groupes de pairs qui ont soumis avec succès des propositions d</w:t>
      </w:r>
      <w:r w:rsidR="00422E02" w:rsidRPr="00422E02">
        <w:t>’</w:t>
      </w:r>
      <w:r w:rsidRPr="00422E02">
        <w:t xml:space="preserve">urgence respectant des critères minimaux basés sur la qualité de la réponse planifiée, le ciblage, les capacités, les contributions locales, la responsabilité et la coordination avec les autres acteurs concernés (voir ci-dessous pour plus de détails) ; </w:t>
      </w:r>
    </w:p>
    <w:p w:rsidR="00B16254" w:rsidRPr="00422E02" w:rsidRDefault="00EE06AE" w:rsidP="00EB0875">
      <w:pPr>
        <w:ind w:left="540" w:hanging="270"/>
        <w:jc w:val="both"/>
      </w:pPr>
      <w:r w:rsidRPr="00422E02">
        <w:t xml:space="preserve">iii. </w:t>
      </w:r>
      <w:r w:rsidR="0089019B">
        <w:t>F</w:t>
      </w:r>
      <w:r w:rsidRPr="00422E02">
        <w:t>ournir une</w:t>
      </w:r>
      <w:r w:rsidRPr="00422E02">
        <w:rPr>
          <w:b/>
        </w:rPr>
        <w:t xml:space="preserve"> formation professionnelle</w:t>
      </w:r>
      <w:r w:rsidRPr="00422E02">
        <w:t xml:space="preserve"> supplémentaire en fonction des besoins, que ce soit sur la gestion de projets et la gestion financière, le développement organisationnel (DO) d</w:t>
      </w:r>
      <w:r w:rsidR="00422E02" w:rsidRPr="00422E02">
        <w:t>’</w:t>
      </w:r>
      <w:r w:rsidRPr="00422E02">
        <w:t>urgence ou les besoins techniques d</w:t>
      </w:r>
      <w:r w:rsidR="00422E02" w:rsidRPr="00422E02">
        <w:t>’</w:t>
      </w:r>
      <w:r w:rsidRPr="00422E02">
        <w:t>urgence spécifiques, notamment les réponses psychosociales</w:t>
      </w:r>
      <w:r w:rsidR="0089019B">
        <w:t> ;</w:t>
      </w:r>
    </w:p>
    <w:p w:rsidR="00B16254" w:rsidRPr="00422E02" w:rsidRDefault="00EE06AE" w:rsidP="00EB0875">
      <w:pPr>
        <w:ind w:left="540" w:hanging="270"/>
        <w:jc w:val="both"/>
      </w:pPr>
      <w:r w:rsidRPr="00422E02">
        <w:t xml:space="preserve">iv. Soutenir les systèmes formels existants de </w:t>
      </w:r>
      <w:r w:rsidRPr="00422E02">
        <w:rPr>
          <w:b/>
        </w:rPr>
        <w:t>coordination</w:t>
      </w:r>
      <w:r w:rsidRPr="00422E02">
        <w:t xml:space="preserve"> entre les gouvernements et les groupes d</w:t>
      </w:r>
      <w:r w:rsidR="00422E02" w:rsidRPr="00422E02">
        <w:t>’</w:t>
      </w:r>
      <w:r w:rsidRPr="00422E02">
        <w:t>experts et d</w:t>
      </w:r>
      <w:r w:rsidR="00422E02" w:rsidRPr="00422E02">
        <w:t>’</w:t>
      </w:r>
      <w:r w:rsidRPr="00422E02">
        <w:t>aide d</w:t>
      </w:r>
      <w:r w:rsidR="00422E02" w:rsidRPr="00422E02">
        <w:t>’</w:t>
      </w:r>
      <w:r w:rsidRPr="00422E02">
        <w:t>urgence pour optimiser leur pertinence pour les OBC et les GE locaux ;</w:t>
      </w:r>
    </w:p>
    <w:p w:rsidR="00B16254" w:rsidRPr="00422E02" w:rsidRDefault="00EE06AE" w:rsidP="00EB0875">
      <w:pPr>
        <w:ind w:left="540" w:hanging="270"/>
        <w:jc w:val="both"/>
      </w:pPr>
      <w:r w:rsidRPr="00422E02">
        <w:t>v. Faciliter l</w:t>
      </w:r>
      <w:r w:rsidR="00422E02" w:rsidRPr="00422E02">
        <w:t>’</w:t>
      </w:r>
      <w:r w:rsidRPr="00422E02">
        <w:rPr>
          <w:b/>
        </w:rPr>
        <w:t>apprentissage</w:t>
      </w:r>
      <w:r w:rsidRPr="00422E02">
        <w:t xml:space="preserve"> à partir des micro-propositions finalisées, afin que toutes les parties prenantes puissent contribuer au renforcement de la réponse SCLR et mieux comprendre comment elle peut compléter la politique existante de soutien au CB-DRRM (réduction et la gestion des risques de catastrophe basées sur la communauté) du gouvernement</w:t>
      </w:r>
      <w:r w:rsidR="0089019B">
        <w:t>.</w:t>
      </w:r>
      <w:r w:rsidRPr="00422E02">
        <w:t xml:space="preserve"> </w:t>
      </w:r>
    </w:p>
    <w:p w:rsidR="00B16254" w:rsidRPr="00422E02" w:rsidRDefault="00B16254" w:rsidP="00EB0875">
      <w:pPr>
        <w:jc w:val="both"/>
      </w:pPr>
    </w:p>
    <w:p w:rsidR="00B16254" w:rsidRPr="00422E02" w:rsidRDefault="00EE06AE" w:rsidP="00EB0875">
      <w:pPr>
        <w:jc w:val="both"/>
      </w:pPr>
      <w:r w:rsidRPr="00422E02">
        <w:t>L</w:t>
      </w:r>
      <w:r w:rsidR="00422E02" w:rsidRPr="00422E02">
        <w:t>’</w:t>
      </w:r>
      <w:r w:rsidRPr="00422E02">
        <w:t>expérience acquise dans plusieurs pays tels que les Philippines, le Myanmar, la Palestine, le Soudan, le Kenya et d</w:t>
      </w:r>
      <w:r w:rsidR="00422E02" w:rsidRPr="00422E02">
        <w:t>’</w:t>
      </w:r>
      <w:r w:rsidRPr="00422E02">
        <w:t>autres pays</w:t>
      </w:r>
      <w:r w:rsidRPr="00422E02">
        <w:rPr>
          <w:rStyle w:val="FootnoteReference"/>
        </w:rPr>
        <w:footnoteRef/>
      </w:r>
      <w:r w:rsidRPr="00422E02">
        <w:t xml:space="preserve"> montre que de ces approches permettent une plus grande réactivité locale (adaptation aux besoins), une plus grande rapidité et une plus grande rentabilité, tout en ayant également des effets positifs importants sur le rétablissement psychosocial et le renforcement de la résilience à long terme. </w:t>
      </w:r>
    </w:p>
    <w:p w:rsidR="00B16254" w:rsidRPr="00422E02" w:rsidRDefault="00B16254" w:rsidP="00EB0875">
      <w:pPr>
        <w:jc w:val="both"/>
      </w:pPr>
    </w:p>
    <w:p w:rsidR="00B16254" w:rsidRPr="00422E02" w:rsidRDefault="00EE06AE" w:rsidP="00EB0875">
      <w:pPr>
        <w:jc w:val="both"/>
      </w:pPr>
      <w:r w:rsidRPr="00422E02">
        <w:t xml:space="preserve">Une explication plus détaillée de chacune des composantes de la réponse à la crise menée par les </w:t>
      </w:r>
      <w:r w:rsidR="00B14D63" w:rsidRPr="00422E02">
        <w:t>survivants</w:t>
      </w:r>
      <w:r w:rsidRPr="00422E02">
        <w:t xml:space="preserve">/la communauté est disponible sur le site Web de Local to Global : </w:t>
      </w:r>
      <w:hyperlink r:id="rId8" w:history="1">
        <w:r w:rsidRPr="00422E02">
          <w:rPr>
            <w:rStyle w:val="Hyperlink"/>
          </w:rPr>
          <w:t>https://www.local2global.info/training/package</w:t>
        </w:r>
      </w:hyperlink>
      <w:r w:rsidRPr="00422E02">
        <w:t xml:space="preserve"> . </w:t>
      </w:r>
    </w:p>
    <w:p w:rsidR="00B16254" w:rsidRPr="00422E02" w:rsidRDefault="00EE06AE" w:rsidP="00EB0875">
      <w:pPr>
        <w:jc w:val="both"/>
      </w:pPr>
      <w:r w:rsidRPr="00422E02">
        <w:t>Dans les annexes, vous trouverez les liens vers les fiches de chaque composante :</w:t>
      </w:r>
    </w:p>
    <w:p w:rsidR="00B16254" w:rsidRPr="00422E02" w:rsidRDefault="00EE06AE" w:rsidP="00EB0875">
      <w:pPr>
        <w:jc w:val="both"/>
      </w:pPr>
      <w:r w:rsidRPr="00422E02">
        <w:t>L</w:t>
      </w:r>
      <w:r w:rsidR="00422E02" w:rsidRPr="00422E02">
        <w:t>’</w:t>
      </w:r>
      <w:r w:rsidRPr="00422E02">
        <w:rPr>
          <w:b/>
        </w:rPr>
        <w:t>Annexe 1</w:t>
      </w:r>
      <w:r w:rsidRPr="00422E02">
        <w:t xml:space="preserve"> fournit plus de détails sur l</w:t>
      </w:r>
      <w:r w:rsidR="00422E02" w:rsidRPr="00422E02">
        <w:t>’</w:t>
      </w:r>
      <w:r w:rsidRPr="00422E02">
        <w:t>approche globale et ses avantages. L</w:t>
      </w:r>
      <w:r w:rsidR="00422E02" w:rsidRPr="00422E02">
        <w:t>’</w:t>
      </w:r>
      <w:r w:rsidRPr="00422E02">
        <w:rPr>
          <w:b/>
        </w:rPr>
        <w:t>Annexe 2</w:t>
      </w:r>
      <w:r w:rsidRPr="00422E02">
        <w:t xml:space="preserve"> contient les liens vers le document de chaque composante de la SCLR : </w:t>
      </w:r>
      <w:r w:rsidRPr="00422E02">
        <w:rPr>
          <w:sz w:val="22"/>
          <w:u w:val="single"/>
        </w:rPr>
        <w:t>lignes directrices de la PALC</w:t>
      </w:r>
      <w:r w:rsidRPr="00422E02">
        <w:t>, une introduction au processus d</w:t>
      </w:r>
      <w:r w:rsidR="00422E02" w:rsidRPr="00422E02">
        <w:t>’</w:t>
      </w:r>
      <w:r w:rsidRPr="00422E02">
        <w:t>apprentissage par l</w:t>
      </w:r>
      <w:r w:rsidR="00422E02" w:rsidRPr="00422E02">
        <w:t>’</w:t>
      </w:r>
      <w:r w:rsidRPr="00422E02">
        <w:t>action participative en situation de crise (PALC)</w:t>
      </w:r>
      <w:r w:rsidR="00E409DB">
        <w:t xml:space="preserve"> </w:t>
      </w:r>
      <w:r w:rsidRPr="00422E02">
        <w:t xml:space="preserve">et </w:t>
      </w:r>
      <w:r w:rsidRPr="00422E02">
        <w:rPr>
          <w:color w:val="000000" w:themeColor="text1"/>
          <w:u w:val="single"/>
        </w:rPr>
        <w:t>lignes directrices sur les microfinancements</w:t>
      </w:r>
      <w:r w:rsidRPr="00422E02">
        <w:t xml:space="preserve">, les procédures, protocoles et formats détaillés des lignes directrices à utiliser dans le processus de microfinancement. </w:t>
      </w:r>
    </w:p>
    <w:p w:rsidR="00B16254" w:rsidRPr="00422E02" w:rsidRDefault="00B16254" w:rsidP="00EB0875">
      <w:pPr>
        <w:jc w:val="both"/>
      </w:pPr>
    </w:p>
    <w:p w:rsidR="00B16254" w:rsidRPr="00422E02" w:rsidRDefault="00EE06AE" w:rsidP="00EB0875">
      <w:pPr>
        <w:jc w:val="both"/>
      </w:pPr>
      <w:r w:rsidRPr="00422E02">
        <w:t>Alors que les avantages du soutien aux interventions d</w:t>
      </w:r>
      <w:r w:rsidR="00422E02" w:rsidRPr="00422E02">
        <w:t>’</w:t>
      </w:r>
      <w:r w:rsidRPr="00422E02">
        <w:t>urgence menées au niveau local sont de plus en plus largement reconnus, les bonnes pratiques dans différents contextes continuent d</w:t>
      </w:r>
      <w:r w:rsidR="00422E02" w:rsidRPr="00422E02">
        <w:t>’</w:t>
      </w:r>
      <w:r w:rsidRPr="00422E02">
        <w:t>émerger ; trois questions essentielles qui requièrent une attention particulière tout en encourageant les interventions menées au niveau local sont le ciblage, la prise en compte des besoins, la responsabilisation, la sensibilité et la coordination. Ce projet vise à répondre à ces questions comme suit :</w:t>
      </w:r>
    </w:p>
    <w:p w:rsidR="00B16254" w:rsidRPr="00422E02" w:rsidRDefault="00B16254" w:rsidP="00EB0875">
      <w:pPr>
        <w:jc w:val="both"/>
        <w:rPr>
          <w:u w:val="single"/>
        </w:rPr>
      </w:pPr>
    </w:p>
    <w:p w:rsidR="00B16254" w:rsidRPr="00422E02" w:rsidRDefault="00EE06AE" w:rsidP="00EB0875">
      <w:pPr>
        <w:jc w:val="both"/>
        <w:rPr>
          <w:u w:val="single"/>
        </w:rPr>
      </w:pPr>
      <w:r w:rsidRPr="00422E02">
        <w:rPr>
          <w:u w:val="single"/>
        </w:rPr>
        <w:t>Ciblage</w:t>
      </w:r>
    </w:p>
    <w:p w:rsidR="00B16254" w:rsidRPr="00422E02" w:rsidRDefault="00EE06AE" w:rsidP="00EB0875">
      <w:pPr>
        <w:jc w:val="both"/>
      </w:pPr>
      <w:r w:rsidRPr="00422E02">
        <w:t>À partir de l</w:t>
      </w:r>
      <w:r w:rsidR="00422E02" w:rsidRPr="00422E02">
        <w:t>’</w:t>
      </w:r>
      <w:r w:rsidRPr="00422E02">
        <w:t>approche d</w:t>
      </w:r>
      <w:r w:rsidR="00422E02" w:rsidRPr="00422E02">
        <w:t>’</w:t>
      </w:r>
      <w:r w:rsidRPr="00422E02">
        <w:t>évaluation communautaire initiale, une liste de critères d</w:t>
      </w:r>
      <w:r w:rsidR="00422E02" w:rsidRPr="00422E02">
        <w:t>’</w:t>
      </w:r>
      <w:r w:rsidRPr="00422E02">
        <w:t>éligibilité pour faire une demande de microfinancement est partagée avec toutes les OBC et les GE qui ont des idées d</w:t>
      </w:r>
      <w:r w:rsidR="00422E02" w:rsidRPr="00422E02">
        <w:t>’</w:t>
      </w:r>
      <w:r w:rsidRPr="00422E02">
        <w:t>intervention et qui veulent solliciter une aide. Cibler les personnes les plus démunies est l</w:t>
      </w:r>
      <w:r w:rsidR="00422E02" w:rsidRPr="00422E02">
        <w:t>’</w:t>
      </w:r>
      <w:r w:rsidRPr="00422E02">
        <w:t>un des critères d</w:t>
      </w:r>
      <w:r w:rsidR="00422E02" w:rsidRPr="00422E02">
        <w:t>’</w:t>
      </w:r>
      <w:r w:rsidRPr="00422E02">
        <w:t xml:space="preserve">admissibilité à la demande (voir Lignes directrices nº 2 sur les microfinancements) et les demandeurs sont informés dès le début. </w:t>
      </w:r>
      <w:r w:rsidRPr="00422E02">
        <w:lastRenderedPageBreak/>
        <w:t>Encore une fois, dans le format de leur proposition (voir Lignes directrices nº 4 sur les microfinancements), les OBC et les GE doivent expliquer comment et pourquoi ils ont choisi leur groupe cible. La liste de contrôle pour la réception des demandes (Lignes directrices nº 5 sur les microfinancements) permet ensuite de s</w:t>
      </w:r>
      <w:r w:rsidR="00422E02" w:rsidRPr="00422E02">
        <w:t>’</w:t>
      </w:r>
      <w:r w:rsidRPr="00422E02">
        <w:t xml:space="preserve">assurer que </w:t>
      </w:r>
      <w:r w:rsidRPr="00422E02">
        <w:rPr>
          <w:color w:val="FF0000"/>
        </w:rPr>
        <w:t>insérez l</w:t>
      </w:r>
      <w:r w:rsidR="00422E02" w:rsidRPr="00422E02">
        <w:rPr>
          <w:color w:val="FF0000"/>
        </w:rPr>
        <w:t>’</w:t>
      </w:r>
      <w:r w:rsidRPr="00422E02">
        <w:rPr>
          <w:color w:val="FF0000"/>
        </w:rPr>
        <w:t xml:space="preserve">organisation </w:t>
      </w:r>
      <w:r w:rsidRPr="00422E02">
        <w:t>doit à nouveau évaluer le ciblage. L</w:t>
      </w:r>
      <w:r w:rsidR="00422E02" w:rsidRPr="00422E02">
        <w:t>’</w:t>
      </w:r>
      <w:r w:rsidRPr="00422E02">
        <w:t xml:space="preserve">évaluation initiale des besoins effectuée par </w:t>
      </w:r>
      <w:r w:rsidRPr="00422E02">
        <w:rPr>
          <w:color w:val="FF0000"/>
        </w:rPr>
        <w:t>insérez l</w:t>
      </w:r>
      <w:r w:rsidR="00422E02" w:rsidRPr="00422E02">
        <w:rPr>
          <w:color w:val="FF0000"/>
        </w:rPr>
        <w:t>’</w:t>
      </w:r>
      <w:r w:rsidRPr="00422E02">
        <w:rPr>
          <w:color w:val="FF0000"/>
        </w:rPr>
        <w:t xml:space="preserve">organisation </w:t>
      </w:r>
      <w:r w:rsidRPr="00422E02">
        <w:t>permet aux équipes sur le terrain d</w:t>
      </w:r>
      <w:r w:rsidR="00422E02" w:rsidRPr="00422E02">
        <w:t>’</w:t>
      </w:r>
      <w:r w:rsidRPr="00422E02">
        <w:t>avoir une idée raisonnable des questions de ciblage par rapport auxquelles elles peuvent juger de la performance des propositions en matière de ciblage.</w:t>
      </w:r>
    </w:p>
    <w:p w:rsidR="00B16254" w:rsidRPr="00422E02" w:rsidRDefault="00B16254" w:rsidP="00EB0875">
      <w:pPr>
        <w:jc w:val="both"/>
      </w:pPr>
    </w:p>
    <w:p w:rsidR="00B16254" w:rsidRPr="00422E02" w:rsidRDefault="00B16254" w:rsidP="00EB0875">
      <w:pPr>
        <w:jc w:val="both"/>
      </w:pPr>
    </w:p>
    <w:p w:rsidR="00B16254" w:rsidRPr="00422E02" w:rsidRDefault="00B16254" w:rsidP="00EB0875">
      <w:pPr>
        <w:jc w:val="both"/>
      </w:pPr>
    </w:p>
    <w:p w:rsidR="00B16254" w:rsidRPr="00422E02" w:rsidRDefault="00EE06AE" w:rsidP="00EB0875">
      <w:pPr>
        <w:jc w:val="both"/>
        <w:rPr>
          <w:u w:val="single"/>
        </w:rPr>
      </w:pPr>
      <w:r w:rsidRPr="00422E02">
        <w:rPr>
          <w:u w:val="single"/>
        </w:rPr>
        <w:t xml:space="preserve">Répondre aux besoins </w:t>
      </w:r>
    </w:p>
    <w:p w:rsidR="00B16254" w:rsidRPr="00422E02" w:rsidRDefault="00EE06AE" w:rsidP="00EB0875">
      <w:pPr>
        <w:jc w:val="both"/>
      </w:pPr>
      <w:r w:rsidRPr="00422E02">
        <w:t>Le nombre réel d</w:t>
      </w:r>
      <w:r w:rsidR="00422E02" w:rsidRPr="00422E02">
        <w:t>’</w:t>
      </w:r>
      <w:r w:rsidRPr="00422E02">
        <w:t xml:space="preserve">utilisateurs finaux initiaux des microfinancements dépendra des propositions reçues par les GE. Toutefois, en fonction du budget mis à disposition pour ce projet, environ </w:t>
      </w:r>
      <w:r w:rsidRPr="00422E02">
        <w:rPr>
          <w:color w:val="FF0000"/>
        </w:rPr>
        <w:t>xxx</w:t>
      </w:r>
      <w:r w:rsidRPr="00422E02">
        <w:t xml:space="preserve">... Les ménages sont exprimés en nombre </w:t>
      </w:r>
      <w:r w:rsidRPr="00422E02">
        <w:rPr>
          <w:i/>
        </w:rPr>
        <w:t>estimé</w:t>
      </w:r>
      <w:r w:rsidRPr="00422E02">
        <w:t xml:space="preserve"> de bénéficiaires directs probables. En fait, comme l</w:t>
      </w:r>
      <w:r w:rsidR="00422E02" w:rsidRPr="00422E02">
        <w:t>’</w:t>
      </w:r>
      <w:r w:rsidRPr="00422E02">
        <w:t>indique l</w:t>
      </w:r>
      <w:r w:rsidR="00422E02" w:rsidRPr="00422E02">
        <w:t>’</w:t>
      </w:r>
      <w:r w:rsidRPr="00422E02">
        <w:t>évaluation des besoins ci-dessus, il y a beaucoup plus de ménages dans le besoin, mais pour offrir les apports même les plus minimes (c.-à-d. les rations de survie de base par personne pendant 2 semaines), le nombre de</w:t>
      </w:r>
      <w:r w:rsidR="00B14D63">
        <w:t xml:space="preserve"> </w:t>
      </w:r>
      <w:r w:rsidRPr="00422E02">
        <w:rPr>
          <w:i/>
          <w:color w:val="FF0000"/>
        </w:rPr>
        <w:t>insérez</w:t>
      </w:r>
      <w:r w:rsidRPr="00422E02">
        <w:rPr>
          <w:color w:val="FF0000"/>
        </w:rPr>
        <w:t xml:space="preserve"> </w:t>
      </w:r>
      <w:r w:rsidRPr="00422E02">
        <w:rPr>
          <w:i/>
          <w:color w:val="FF0000"/>
        </w:rPr>
        <w:t>le chiffre</w:t>
      </w:r>
      <w:r w:rsidRPr="00422E02">
        <w:t xml:space="preserve"> ménages représente un nombre maximum estimé pour lequel budget disponible pourrait avoir un impact significatif en matière  de secours d</w:t>
      </w:r>
      <w:r w:rsidR="00422E02" w:rsidRPr="00422E02">
        <w:t>’</w:t>
      </w:r>
      <w:r w:rsidRPr="00422E02">
        <w:t xml:space="preserve">urgence. </w:t>
      </w:r>
    </w:p>
    <w:p w:rsidR="00B16254" w:rsidRPr="00422E02" w:rsidRDefault="00B16254" w:rsidP="00EB0875">
      <w:pPr>
        <w:jc w:val="both"/>
        <w:rPr>
          <w:u w:val="single"/>
        </w:rPr>
      </w:pPr>
    </w:p>
    <w:p w:rsidR="00B16254" w:rsidRPr="00422E02" w:rsidRDefault="00EE06AE" w:rsidP="00EB0875">
      <w:pPr>
        <w:jc w:val="both"/>
      </w:pPr>
      <w:r w:rsidRPr="00422E02">
        <w:t>Grâce au décaissement des microfinancements d</w:t>
      </w:r>
      <w:r w:rsidR="00422E02" w:rsidRPr="00422E02">
        <w:t>’</w:t>
      </w:r>
      <w:r w:rsidRPr="00422E02">
        <w:t xml:space="preserve">urgence accordé à </w:t>
      </w:r>
      <w:r w:rsidRPr="00422E02">
        <w:rPr>
          <w:color w:val="FF0000"/>
        </w:rPr>
        <w:t>nom de l</w:t>
      </w:r>
      <w:r w:rsidR="00422E02" w:rsidRPr="00422E02">
        <w:rPr>
          <w:color w:val="FF0000"/>
        </w:rPr>
        <w:t>’</w:t>
      </w:r>
      <w:r w:rsidRPr="00422E02">
        <w:rPr>
          <w:color w:val="FF0000"/>
        </w:rPr>
        <w:t>ONG</w:t>
      </w:r>
      <w:r w:rsidRPr="00422E02">
        <w:t xml:space="preserve">, ce projet acheminera environ </w:t>
      </w:r>
      <w:r w:rsidRPr="00422E02">
        <w:rPr>
          <w:highlight w:val="yellow"/>
        </w:rPr>
        <w:t>80 %</w:t>
      </w:r>
      <w:r w:rsidRPr="00422E02">
        <w:t xml:space="preserve"> des fonds du budget total de son projet directement au budget planifié de</w:t>
      </w:r>
      <w:r w:rsidRPr="00422E02">
        <w:rPr>
          <w:i/>
          <w:color w:val="FF0000"/>
        </w:rPr>
        <w:t xml:space="preserve"> insérez</w:t>
      </w:r>
      <w:r w:rsidRPr="00422E02">
        <w:rPr>
          <w:color w:val="FF0000"/>
        </w:rPr>
        <w:t xml:space="preserve"> </w:t>
      </w:r>
      <w:r w:rsidRPr="00422E02">
        <w:rPr>
          <w:i/>
          <w:color w:val="FF0000"/>
        </w:rPr>
        <w:t>le nombre</w:t>
      </w:r>
      <w:r w:rsidRPr="00422E02">
        <w:t xml:space="preserve"> bénéficiaires (</w:t>
      </w:r>
      <w:r w:rsidRPr="00422E02">
        <w:rPr>
          <w:i/>
          <w:color w:val="FF0000"/>
        </w:rPr>
        <w:t>insérez</w:t>
      </w:r>
      <w:r w:rsidRPr="00422E02">
        <w:rPr>
          <w:color w:val="FF0000"/>
        </w:rPr>
        <w:t xml:space="preserve"> </w:t>
      </w:r>
      <w:r w:rsidRPr="00422E02">
        <w:rPr>
          <w:i/>
          <w:color w:val="FF0000"/>
        </w:rPr>
        <w:t>le nombre</w:t>
      </w:r>
      <w:r w:rsidRPr="00422E02">
        <w:t xml:space="preserve"> ménages). L</w:t>
      </w:r>
      <w:r w:rsidR="00422E02" w:rsidRPr="00422E02">
        <w:t>’</w:t>
      </w:r>
      <w:r w:rsidRPr="00422E02">
        <w:t>investissement moyen par bénéficiaire est donc d</w:t>
      </w:r>
      <w:r w:rsidR="00422E02" w:rsidRPr="00422E02">
        <w:t>’</w:t>
      </w:r>
      <w:r w:rsidRPr="00422E02">
        <w:t xml:space="preserve">environ </w:t>
      </w:r>
      <w:r w:rsidRPr="00422E02">
        <w:rPr>
          <w:i/>
          <w:color w:val="FF0000"/>
        </w:rPr>
        <w:t>insérez</w:t>
      </w:r>
      <w:r w:rsidRPr="00422E02">
        <w:rPr>
          <w:color w:val="FF0000"/>
        </w:rPr>
        <w:t xml:space="preserve"> </w:t>
      </w:r>
      <w:r w:rsidRPr="00422E02">
        <w:rPr>
          <w:i/>
          <w:color w:val="FF0000"/>
        </w:rPr>
        <w:t>le montant</w:t>
      </w:r>
      <w:r w:rsidRPr="00422E02">
        <w:t xml:space="preserve"> </w:t>
      </w:r>
      <w:r w:rsidR="007315FC">
        <w:t xml:space="preserve">en devise </w:t>
      </w:r>
      <w:r w:rsidRPr="00422E02">
        <w:rPr>
          <w:color w:val="FF0000"/>
        </w:rPr>
        <w:t>XY</w:t>
      </w:r>
      <w:r w:rsidRPr="00422E02">
        <w:t xml:space="preserve"> (environ </w:t>
      </w:r>
      <w:r w:rsidRPr="00422E02">
        <w:rPr>
          <w:i/>
          <w:color w:val="FF0000"/>
        </w:rPr>
        <w:t>insérez</w:t>
      </w:r>
      <w:r w:rsidRPr="00422E02">
        <w:t xml:space="preserve"> </w:t>
      </w:r>
      <w:r w:rsidRPr="00422E02">
        <w:rPr>
          <w:color w:val="FF0000"/>
        </w:rPr>
        <w:t xml:space="preserve"> </w:t>
      </w:r>
      <w:r w:rsidRPr="00422E02">
        <w:rPr>
          <w:i/>
          <w:color w:val="FF0000"/>
        </w:rPr>
        <w:t>le montant</w:t>
      </w:r>
      <w:r w:rsidRPr="00422E02">
        <w:t xml:space="preserve">  </w:t>
      </w:r>
      <w:r w:rsidRPr="00422E02">
        <w:rPr>
          <w:color w:val="FF0000"/>
        </w:rPr>
        <w:t>USD/EURO</w:t>
      </w:r>
      <w:r w:rsidRPr="00422E02">
        <w:t>). Étant donné que les communautés ciblées établiront elles-mêmes l</w:t>
      </w:r>
      <w:r w:rsidR="00422E02" w:rsidRPr="00422E02">
        <w:t>’</w:t>
      </w:r>
      <w:r w:rsidRPr="00422E02">
        <w:t>ordre de priorité de l</w:t>
      </w:r>
      <w:r w:rsidR="00422E02" w:rsidRPr="00422E02">
        <w:t>’</w:t>
      </w:r>
      <w:r w:rsidRPr="00422E02">
        <w:t>utilisation de leurs budgets, nous ne pouvons pas prédire exactement comment ils seront utilisés :</w:t>
      </w:r>
    </w:p>
    <w:p w:rsidR="00B16254" w:rsidRPr="00422E02" w:rsidRDefault="00B16254" w:rsidP="00EB0875">
      <w:pPr>
        <w:jc w:val="both"/>
      </w:pPr>
    </w:p>
    <w:p w:rsidR="00B16254" w:rsidRPr="00422E02" w:rsidRDefault="00EE06AE" w:rsidP="00EB0875">
      <w:pPr>
        <w:jc w:val="both"/>
      </w:pPr>
      <w:r w:rsidRPr="00422E02">
        <w:t>Si d</w:t>
      </w:r>
      <w:r w:rsidR="00422E02" w:rsidRPr="00422E02">
        <w:t>’</w:t>
      </w:r>
      <w:r w:rsidRPr="00422E02">
        <w:t>autres fonds sont disponibles, un nombre plus élevé de bénéficiaires pourrait être prévu.</w:t>
      </w:r>
      <w:r w:rsidRPr="00422E02">
        <w:br/>
      </w:r>
    </w:p>
    <w:p w:rsidR="00B16254" w:rsidRPr="00422E02" w:rsidRDefault="00B16254" w:rsidP="00EB0875">
      <w:pPr>
        <w:jc w:val="both"/>
        <w:rPr>
          <w:u w:val="single"/>
        </w:rPr>
      </w:pPr>
    </w:p>
    <w:p w:rsidR="00B16254" w:rsidRPr="00422E02" w:rsidRDefault="00EE06AE" w:rsidP="00EB0875">
      <w:pPr>
        <w:jc w:val="both"/>
        <w:rPr>
          <w:u w:val="single"/>
        </w:rPr>
      </w:pPr>
      <w:r w:rsidRPr="00422E02">
        <w:rPr>
          <w:u w:val="single"/>
        </w:rPr>
        <w:t>Responsabilisation</w:t>
      </w:r>
    </w:p>
    <w:p w:rsidR="00B16254" w:rsidRPr="00422E02" w:rsidRDefault="00EE06AE" w:rsidP="00EB0875">
      <w:pPr>
        <w:jc w:val="both"/>
      </w:pPr>
      <w:r w:rsidRPr="00422E02">
        <w:t>L</w:t>
      </w:r>
      <w:r w:rsidR="00422E02" w:rsidRPr="00422E02">
        <w:t>’</w:t>
      </w:r>
      <w:r w:rsidRPr="00422E02">
        <w:t xml:space="preserve">approche vise à aborder 3 niveaux de responsabilité des OBC/GE dans la mise en œuvre : </w:t>
      </w:r>
      <w:r w:rsidRPr="00422E02">
        <w:rPr>
          <w:i/>
        </w:rPr>
        <w:t>descendante</w:t>
      </w:r>
      <w:r w:rsidRPr="00422E02">
        <w:t xml:space="preserve"> en direction des communautés ciblées ; </w:t>
      </w:r>
      <w:r w:rsidRPr="00422E02">
        <w:rPr>
          <w:i/>
        </w:rPr>
        <w:t xml:space="preserve">interne (ou horizontal) </w:t>
      </w:r>
      <w:r w:rsidRPr="007E76DD">
        <w:t>au sein des équipes des OBC/GE ou entre les membres</w:t>
      </w:r>
      <w:r w:rsidRPr="00422E02">
        <w:rPr>
          <w:i/>
        </w:rPr>
        <w:t xml:space="preserve"> ; </w:t>
      </w:r>
      <w:r w:rsidRPr="007E76DD">
        <w:t>et</w:t>
      </w:r>
      <w:r w:rsidRPr="00422E02">
        <w:rPr>
          <w:i/>
        </w:rPr>
        <w:t xml:space="preserve"> ascendante</w:t>
      </w:r>
      <w:r w:rsidRPr="00422E02">
        <w:t xml:space="preserve"> en direction des donateurs.</w:t>
      </w:r>
    </w:p>
    <w:p w:rsidR="00B16254" w:rsidRPr="00422E02" w:rsidRDefault="00B14D63" w:rsidP="00EB0875">
      <w:pPr>
        <w:pStyle w:val="ListParagraph"/>
        <w:numPr>
          <w:ilvl w:val="0"/>
          <w:numId w:val="23"/>
        </w:numPr>
        <w:ind w:left="360"/>
        <w:jc w:val="both"/>
      </w:pPr>
      <w:r w:rsidRPr="00422E02">
        <w:t xml:space="preserve">Les mesures de responsabilisation </w:t>
      </w:r>
      <w:r w:rsidRPr="00422E02">
        <w:rPr>
          <w:b/>
        </w:rPr>
        <w:t>descendante</w:t>
      </w:r>
      <w:r w:rsidRPr="00422E02">
        <w:t xml:space="preserve"> comprennent : la facilitation de l’évaluation des possibilités et de l’enquête d’appréciation basée sur la </w:t>
      </w:r>
      <w:r w:rsidRPr="00422E02">
        <w:rPr>
          <w:u w:val="single"/>
        </w:rPr>
        <w:t>communauté</w:t>
      </w:r>
      <w:r w:rsidRPr="00C81839">
        <w:t xml:space="preserve"> </w:t>
      </w:r>
      <w:r w:rsidRPr="00422E02">
        <w:t>en premier lieu ; l’évaluation initiale contre-vérifiée de l’intégrité du demandeur ; la nécessité pour les demandeurs de microfinancements d’afficher les propositions et/ou les détails approuvés du projet dans des lieux publics ou de participer à des réunions publiques (selon le contexte) ; l’approbation d’une</w:t>
      </w:r>
      <w:r w:rsidR="00C81839">
        <w:rPr>
          <w:vertAlign w:val="superscript"/>
        </w:rPr>
        <w:t xml:space="preserve"> </w:t>
      </w:r>
      <w:r w:rsidR="00C81839">
        <w:t xml:space="preserve">tierce </w:t>
      </w:r>
      <w:r w:rsidRPr="00422E02">
        <w:t xml:space="preserve">partie respectée de la communauté requise pour toute proposition ; les témoins requis lors de la signature d’une entente contractuelle ; le rapport final qui sera rendu disponible, encore une fois de façon transparente par affichage public et/ou réunion communautaire ; et l’évaluation participative facilitée une fois le projet terminé. </w:t>
      </w:r>
    </w:p>
    <w:p w:rsidR="00B16254" w:rsidRPr="00422E02" w:rsidRDefault="00EE06AE" w:rsidP="00EB0875">
      <w:pPr>
        <w:pStyle w:val="ListParagraph"/>
        <w:numPr>
          <w:ilvl w:val="0"/>
          <w:numId w:val="23"/>
        </w:numPr>
        <w:ind w:left="360"/>
        <w:jc w:val="both"/>
      </w:pPr>
      <w:r w:rsidRPr="00422E02">
        <w:t xml:space="preserve">La responsabilité </w:t>
      </w:r>
      <w:r w:rsidRPr="00422E02">
        <w:rPr>
          <w:b/>
        </w:rPr>
        <w:t>interne</w:t>
      </w:r>
      <w:r w:rsidRPr="00422E02">
        <w:t xml:space="preserve"> est favorisée en exigeant que trois (3) membres seniors nommés des groupes soumettent la proposition et signent tout contrat s</w:t>
      </w:r>
      <w:r w:rsidR="00422E02" w:rsidRPr="00422E02">
        <w:t>’</w:t>
      </w:r>
      <w:r w:rsidRPr="00422E02">
        <w:t>ils sont retenus.</w:t>
      </w:r>
    </w:p>
    <w:p w:rsidR="00B16254" w:rsidRPr="00422E02" w:rsidRDefault="00EE06AE" w:rsidP="00EB0875">
      <w:pPr>
        <w:pStyle w:val="ListParagraph"/>
        <w:numPr>
          <w:ilvl w:val="0"/>
          <w:numId w:val="23"/>
        </w:numPr>
        <w:ind w:left="360"/>
        <w:jc w:val="both"/>
      </w:pPr>
      <w:r w:rsidRPr="00422E02">
        <w:t xml:space="preserve">Les mesures de </w:t>
      </w:r>
      <w:r w:rsidRPr="00422E02">
        <w:rPr>
          <w:b/>
        </w:rPr>
        <w:t xml:space="preserve">responsabilité ascendante </w:t>
      </w:r>
      <w:r w:rsidRPr="00422E02">
        <w:t>comprennent : les mesures décrites ci-dessus pour l</w:t>
      </w:r>
      <w:r w:rsidR="00422E02" w:rsidRPr="00422E02">
        <w:t>’</w:t>
      </w:r>
      <w:r w:rsidRPr="00422E02">
        <w:t>intégrité et la responsabilité descendante ; les exigences en matière de planification budgétaire ; la liste de contrôle pour l</w:t>
      </w:r>
      <w:r w:rsidR="00422E02" w:rsidRPr="00422E02">
        <w:t>’</w:t>
      </w:r>
      <w:r w:rsidRPr="00422E02">
        <w:t>évaluation des propositions qui évalue la budgétisation ; l</w:t>
      </w:r>
      <w:r w:rsidR="00422E02" w:rsidRPr="00422E02">
        <w:t>’</w:t>
      </w:r>
      <w:r w:rsidRPr="00422E02">
        <w:t>entente contractuelle qui énonce les exigences minimales en matière de gestion financière, la formation en comptabilité et les lignes directrices en matière d</w:t>
      </w:r>
      <w:r w:rsidR="00422E02" w:rsidRPr="00422E02">
        <w:t>’</w:t>
      </w:r>
      <w:r w:rsidRPr="00422E02">
        <w:t>approvisionnement fournies (Lignes directrices nº 9) ; le texte explicatif et les lignes directrices sur la communication financière.</w:t>
      </w:r>
    </w:p>
    <w:p w:rsidR="00B16254" w:rsidRPr="00422E02" w:rsidRDefault="00B16254" w:rsidP="00EB0875">
      <w:pPr>
        <w:jc w:val="both"/>
        <w:rPr>
          <w:u w:val="single"/>
        </w:rPr>
      </w:pPr>
    </w:p>
    <w:p w:rsidR="00B16254" w:rsidRPr="00422E02" w:rsidRDefault="00EE06AE" w:rsidP="00EB0875">
      <w:pPr>
        <w:jc w:val="both"/>
        <w:rPr>
          <w:u w:val="single"/>
        </w:rPr>
      </w:pPr>
      <w:r w:rsidRPr="00422E02">
        <w:rPr>
          <w:u w:val="single"/>
        </w:rPr>
        <w:t>Coordination</w:t>
      </w:r>
    </w:p>
    <w:p w:rsidR="00B16254" w:rsidRPr="00422E02" w:rsidRDefault="00EE06AE" w:rsidP="00EB0875">
      <w:pPr>
        <w:jc w:val="both"/>
        <w:rPr>
          <w:color w:val="000000"/>
        </w:rPr>
      </w:pPr>
      <w:r w:rsidRPr="00422E02">
        <w:t>L</w:t>
      </w:r>
      <w:r w:rsidR="00422E02" w:rsidRPr="00422E02">
        <w:t>’</w:t>
      </w:r>
      <w:r w:rsidRPr="00422E02">
        <w:t>approche est conçue pour s</w:t>
      </w:r>
      <w:r w:rsidR="00422E02" w:rsidRPr="00422E02">
        <w:t>’</w:t>
      </w:r>
      <w:r w:rsidRPr="00422E02">
        <w:t>appuyer sur les capacités et les processus nationaux existants en matière de CB-DRRM et s</w:t>
      </w:r>
      <w:r w:rsidR="00422E02" w:rsidRPr="00422E02">
        <w:t>’</w:t>
      </w:r>
      <w:r w:rsidRPr="00422E02">
        <w:t xml:space="preserve">y rattacher, en fournissant les étapes complémentaires essentielles pour autonomiser les communautés pendant la réponse à la crise (plutôt que juste avant et après). </w:t>
      </w:r>
      <w:r w:rsidRPr="00422E02">
        <w:rPr>
          <w:i/>
          <w:color w:val="FF0000"/>
        </w:rPr>
        <w:t>Incluez une phrase sur la coordination de votre agence avec le programme gouvernemental</w:t>
      </w:r>
      <w:r w:rsidRPr="00422E02">
        <w:rPr>
          <w:color w:val="FF0000"/>
        </w:rPr>
        <w:t xml:space="preserve"> CB-DRRM et/ou toute autre initiative visant à réduire la vulnérabilité ou à renforcer la résilience avec laquelle ce projet pourrait être coordonné</w:t>
      </w:r>
      <w:r w:rsidRPr="00422E02">
        <w:t>. Elle considère l</w:t>
      </w:r>
      <w:r w:rsidR="00422E02" w:rsidRPr="00422E02">
        <w:t>’</w:t>
      </w:r>
      <w:r w:rsidRPr="00422E02">
        <w:t>ajout de l</w:t>
      </w:r>
      <w:r w:rsidR="00422E02" w:rsidRPr="00422E02">
        <w:t>’</w:t>
      </w:r>
      <w:r w:rsidRPr="00422E02">
        <w:t xml:space="preserve">approche SCLR comme un complément à ces processus pré- et post-catastrophe. Elle est également connectée aux systèmes de coordination du gouvernement par le biais des </w:t>
      </w:r>
      <w:r w:rsidRPr="00422E02">
        <w:rPr>
          <w:color w:val="FF0000"/>
        </w:rPr>
        <w:t xml:space="preserve">conseils provinciaux de gestion des </w:t>
      </w:r>
      <w:r w:rsidRPr="00422E02">
        <w:rPr>
          <w:color w:val="FF0000"/>
        </w:rPr>
        <w:lastRenderedPageBreak/>
        <w:t>risques liés aux catastrophes (DRRM)</w:t>
      </w:r>
      <w:r w:rsidRPr="00422E02">
        <w:t xml:space="preserve"> </w:t>
      </w:r>
      <w:r w:rsidRPr="00422E02">
        <w:rPr>
          <w:color w:val="FF0000"/>
        </w:rPr>
        <w:t>(à éditer en fonction des organismes concernés)</w:t>
      </w:r>
      <w:r w:rsidRPr="00422E02">
        <w:t>. La collectivité locale (</w:t>
      </w:r>
      <w:r w:rsidR="00CE69CC">
        <w:t>UGL</w:t>
      </w:r>
      <w:r w:rsidRPr="00422E02">
        <w:t>) est impliquée depuis le début :</w:t>
      </w:r>
      <w:r w:rsidRPr="00422E02">
        <w:rPr>
          <w:color w:val="000000"/>
        </w:rPr>
        <w:t xml:space="preserve"> aucune proposition ne peut être approuvée pour financement tant qu</w:t>
      </w:r>
      <w:r w:rsidR="00422E02" w:rsidRPr="00422E02">
        <w:rPr>
          <w:color w:val="000000"/>
        </w:rPr>
        <w:t>’</w:t>
      </w:r>
      <w:r w:rsidRPr="00422E02">
        <w:rPr>
          <w:color w:val="000000"/>
        </w:rPr>
        <w:t>elle n</w:t>
      </w:r>
      <w:r w:rsidR="00422E02" w:rsidRPr="00422E02">
        <w:rPr>
          <w:color w:val="000000"/>
        </w:rPr>
        <w:t>’</w:t>
      </w:r>
      <w:r w:rsidRPr="00422E02">
        <w:rPr>
          <w:color w:val="000000"/>
        </w:rPr>
        <w:t>a pas été vérifiée avec les systèmes de coordination gouvernementaux (au niveau du Barangay) qu</w:t>
      </w:r>
      <w:r w:rsidR="00422E02" w:rsidRPr="00422E02">
        <w:rPr>
          <w:color w:val="000000"/>
        </w:rPr>
        <w:t>’</w:t>
      </w:r>
      <w:r w:rsidRPr="00422E02">
        <w:rPr>
          <w:color w:val="000000"/>
        </w:rPr>
        <w:t>il n</w:t>
      </w:r>
      <w:r w:rsidR="00422E02" w:rsidRPr="00422E02">
        <w:rPr>
          <w:color w:val="000000"/>
        </w:rPr>
        <w:t>’</w:t>
      </w:r>
      <w:r w:rsidRPr="00422E02">
        <w:rPr>
          <w:color w:val="000000"/>
        </w:rPr>
        <w:t>y a pas de risque de duplication ou de contradiction avec les actions prévues des autres OING/ONG (à supposer qu</w:t>
      </w:r>
      <w:r w:rsidR="00422E02" w:rsidRPr="00422E02">
        <w:rPr>
          <w:color w:val="000000"/>
        </w:rPr>
        <w:t>’</w:t>
      </w:r>
      <w:r w:rsidRPr="00422E02">
        <w:rPr>
          <w:color w:val="000000"/>
        </w:rPr>
        <w:t xml:space="preserve">elles informent également les </w:t>
      </w:r>
      <w:r w:rsidR="00CE69CC">
        <w:rPr>
          <w:color w:val="000000"/>
        </w:rPr>
        <w:t>UGL</w:t>
      </w:r>
      <w:r w:rsidRPr="00422E02">
        <w:rPr>
          <w:color w:val="000000"/>
        </w:rPr>
        <w:t xml:space="preserve"> de leurs activités. Le Conseil CB-DRRM est informé de toutes les activités et des opportunités de collaboration avec le Gouvernement et d</w:t>
      </w:r>
      <w:r w:rsidR="00422E02" w:rsidRPr="00422E02">
        <w:rPr>
          <w:color w:val="000000"/>
        </w:rPr>
        <w:t>’</w:t>
      </w:r>
      <w:r w:rsidRPr="00422E02">
        <w:rPr>
          <w:color w:val="000000"/>
        </w:rPr>
        <w:t xml:space="preserve">autres ONG/OING sont recherchées. </w:t>
      </w:r>
    </w:p>
    <w:p w:rsidR="00B16254" w:rsidRPr="00422E02" w:rsidRDefault="00B16254" w:rsidP="00EB0875">
      <w:pPr>
        <w:jc w:val="both"/>
        <w:rPr>
          <w:color w:val="000000"/>
        </w:rPr>
      </w:pPr>
    </w:p>
    <w:p w:rsidR="00B16254" w:rsidRPr="00422E02" w:rsidRDefault="00B16254" w:rsidP="00EB0875">
      <w:pPr>
        <w:jc w:val="both"/>
        <w:rPr>
          <w:u w:val="single"/>
        </w:rPr>
      </w:pPr>
    </w:p>
    <w:p w:rsidR="00B16254" w:rsidRPr="00422E02" w:rsidRDefault="00EE06AE" w:rsidP="00EB0875">
      <w:pPr>
        <w:jc w:val="both"/>
        <w:rPr>
          <w:b/>
        </w:rPr>
      </w:pPr>
      <w:r w:rsidRPr="00422E02">
        <w:rPr>
          <w:b/>
        </w:rPr>
        <w:t xml:space="preserve">3.3 Plan de travail et mise en œuvre </w:t>
      </w:r>
    </w:p>
    <w:p w:rsidR="00B16254" w:rsidRPr="00422E02" w:rsidRDefault="00B16254" w:rsidP="00EB0875">
      <w:pPr>
        <w:jc w:val="both"/>
        <w:rPr>
          <w:b/>
          <w:u w:val="single"/>
        </w:rPr>
      </w:pPr>
    </w:p>
    <w:p w:rsidR="00B16254" w:rsidRPr="00422E02" w:rsidRDefault="00EE06AE" w:rsidP="00EB0875">
      <w:pPr>
        <w:jc w:val="both"/>
        <w:rPr>
          <w:u w:val="single"/>
        </w:rPr>
      </w:pPr>
      <w:r w:rsidRPr="00422E02">
        <w:rPr>
          <w:u w:val="single"/>
        </w:rPr>
        <w:t>Plan de travail et calendrier du projet</w:t>
      </w:r>
    </w:p>
    <w:p w:rsidR="00B16254" w:rsidRPr="00422E02" w:rsidRDefault="00B16254" w:rsidP="00EB0875">
      <w:pPr>
        <w:jc w:val="both"/>
      </w:pPr>
    </w:p>
    <w:p w:rsidR="00B16254" w:rsidRPr="00422E02" w:rsidRDefault="00EE06AE" w:rsidP="00EB0875">
      <w:pPr>
        <w:jc w:val="both"/>
      </w:pPr>
      <w:r w:rsidRPr="00422E02">
        <w:t>Le projet devrait débuter le ..........</w:t>
      </w:r>
      <w:r w:rsidRPr="00422E02">
        <w:rPr>
          <w:color w:val="FF0000"/>
        </w:rPr>
        <w:t xml:space="preserve"> xxx</w:t>
      </w:r>
      <w:r w:rsidRPr="00422E02">
        <w:t xml:space="preserve"> .............. et se terminera le ..........</w:t>
      </w:r>
      <w:r w:rsidRPr="00422E02">
        <w:rPr>
          <w:color w:val="FF0000"/>
        </w:rPr>
        <w:t xml:space="preserve"> xxx</w:t>
      </w:r>
      <w:r w:rsidRPr="00422E02">
        <w:t xml:space="preserve"> .............. selon le calendrier suivant :</w:t>
      </w:r>
    </w:p>
    <w:p w:rsidR="00B16254" w:rsidRPr="00422E02" w:rsidRDefault="00EE06AE" w:rsidP="00EB0875">
      <w:pPr>
        <w:jc w:val="both"/>
        <w:rPr>
          <w:i/>
          <w:color w:val="8064A2" w:themeColor="accent4"/>
        </w:rPr>
      </w:pPr>
      <w:r w:rsidRPr="00422E02">
        <w:rPr>
          <w:i/>
          <w:color w:val="8064A2" w:themeColor="accent4"/>
        </w:rPr>
        <w:t>Conseil : le plan de travail peut être adapté au calendrier et aux activités de votre projet, qui peuvent durer plus ou moins huit semaines. Ajustez la période et la sélection des cellules en fonction de votre propre planification.</w:t>
      </w:r>
    </w:p>
    <w:p w:rsidR="00B16254" w:rsidRPr="00422E02" w:rsidRDefault="00B16254" w:rsidP="00EB0875">
      <w:pPr>
        <w:jc w:val="both"/>
      </w:pPr>
    </w:p>
    <w:tbl>
      <w:tblPr>
        <w:tblStyle w:val="TableGrid"/>
        <w:tblW w:w="0" w:type="auto"/>
        <w:tblLayout w:type="fixed"/>
        <w:tblLook w:val="04A0"/>
      </w:tblPr>
      <w:tblGrid>
        <w:gridCol w:w="6457"/>
        <w:gridCol w:w="528"/>
        <w:gridCol w:w="328"/>
        <w:gridCol w:w="328"/>
        <w:gridCol w:w="328"/>
        <w:gridCol w:w="328"/>
        <w:gridCol w:w="328"/>
        <w:gridCol w:w="328"/>
        <w:gridCol w:w="328"/>
        <w:gridCol w:w="367"/>
      </w:tblGrid>
      <w:tr w:rsidR="00B16254" w:rsidRPr="00422E02">
        <w:tc>
          <w:tcPr>
            <w:tcW w:w="6457" w:type="dxa"/>
            <w:vMerge w:val="restart"/>
            <w:shd w:val="clear" w:color="auto" w:fill="D9D9D9" w:themeFill="background1" w:themeFillShade="D9"/>
          </w:tcPr>
          <w:p w:rsidR="00B16254" w:rsidRPr="00422E02" w:rsidRDefault="00EE06AE" w:rsidP="00EB0875">
            <w:pPr>
              <w:jc w:val="both"/>
              <w:rPr>
                <w:b/>
              </w:rPr>
            </w:pPr>
            <w:r w:rsidRPr="00422E02">
              <w:rPr>
                <w:b/>
                <w:color w:val="000000"/>
              </w:rPr>
              <w:t>Activités prévues</w:t>
            </w:r>
          </w:p>
        </w:tc>
        <w:tc>
          <w:tcPr>
            <w:tcW w:w="3191" w:type="dxa"/>
            <w:gridSpan w:val="9"/>
            <w:shd w:val="clear" w:color="auto" w:fill="D9D9D9" w:themeFill="background1" w:themeFillShade="D9"/>
          </w:tcPr>
          <w:p w:rsidR="00B16254" w:rsidRPr="00422E02" w:rsidRDefault="00EE06AE" w:rsidP="00EB0875">
            <w:pPr>
              <w:jc w:val="both"/>
              <w:rPr>
                <w:b/>
              </w:rPr>
            </w:pPr>
            <w:r w:rsidRPr="00422E02">
              <w:rPr>
                <w:b/>
              </w:rPr>
              <w:t>Délai (nombre de semaines après le début du projet)</w:t>
            </w:r>
          </w:p>
        </w:tc>
      </w:tr>
      <w:tr w:rsidR="00B16254" w:rsidRPr="00422E02">
        <w:tc>
          <w:tcPr>
            <w:tcW w:w="6457" w:type="dxa"/>
            <w:vMerge/>
            <w:shd w:val="clear" w:color="auto" w:fill="D9D9D9" w:themeFill="background1" w:themeFillShade="D9"/>
          </w:tcPr>
          <w:p w:rsidR="00B16254" w:rsidRPr="00422E02" w:rsidRDefault="00B16254" w:rsidP="00EB0875">
            <w:pPr>
              <w:jc w:val="both"/>
              <w:rPr>
                <w:b/>
              </w:rPr>
            </w:pPr>
          </w:p>
        </w:tc>
        <w:tc>
          <w:tcPr>
            <w:tcW w:w="528" w:type="dxa"/>
            <w:shd w:val="clear" w:color="auto" w:fill="D9D9D9" w:themeFill="background1" w:themeFillShade="D9"/>
          </w:tcPr>
          <w:p w:rsidR="00B16254" w:rsidRPr="00422E02" w:rsidRDefault="00EE06AE" w:rsidP="00EB0875">
            <w:pPr>
              <w:jc w:val="both"/>
              <w:rPr>
                <w:b/>
              </w:rPr>
            </w:pPr>
            <w:r w:rsidRPr="00422E02">
              <w:rPr>
                <w:b/>
              </w:rPr>
              <w:t>pré</w:t>
            </w:r>
          </w:p>
        </w:tc>
        <w:tc>
          <w:tcPr>
            <w:tcW w:w="328" w:type="dxa"/>
            <w:shd w:val="clear" w:color="auto" w:fill="D9D9D9" w:themeFill="background1" w:themeFillShade="D9"/>
          </w:tcPr>
          <w:p w:rsidR="00B16254" w:rsidRPr="00422E02" w:rsidRDefault="00EE06AE" w:rsidP="00EB0875">
            <w:pPr>
              <w:jc w:val="both"/>
              <w:rPr>
                <w:b/>
              </w:rPr>
            </w:pPr>
            <w:r w:rsidRPr="00422E02">
              <w:rPr>
                <w:b/>
              </w:rPr>
              <w:t>1</w:t>
            </w:r>
          </w:p>
        </w:tc>
        <w:tc>
          <w:tcPr>
            <w:tcW w:w="328" w:type="dxa"/>
            <w:shd w:val="clear" w:color="auto" w:fill="D9D9D9" w:themeFill="background1" w:themeFillShade="D9"/>
          </w:tcPr>
          <w:p w:rsidR="00B16254" w:rsidRPr="00422E02" w:rsidRDefault="00EE06AE" w:rsidP="00EB0875">
            <w:pPr>
              <w:jc w:val="both"/>
              <w:rPr>
                <w:b/>
              </w:rPr>
            </w:pPr>
            <w:r w:rsidRPr="00422E02">
              <w:rPr>
                <w:b/>
              </w:rPr>
              <w:t>2</w:t>
            </w:r>
          </w:p>
        </w:tc>
        <w:tc>
          <w:tcPr>
            <w:tcW w:w="328" w:type="dxa"/>
            <w:shd w:val="clear" w:color="auto" w:fill="D9D9D9" w:themeFill="background1" w:themeFillShade="D9"/>
          </w:tcPr>
          <w:p w:rsidR="00B16254" w:rsidRPr="00422E02" w:rsidRDefault="00EE06AE" w:rsidP="00EB0875">
            <w:pPr>
              <w:jc w:val="both"/>
              <w:rPr>
                <w:b/>
              </w:rPr>
            </w:pPr>
            <w:r w:rsidRPr="00422E02">
              <w:rPr>
                <w:b/>
              </w:rPr>
              <w:t>3</w:t>
            </w:r>
          </w:p>
        </w:tc>
        <w:tc>
          <w:tcPr>
            <w:tcW w:w="328" w:type="dxa"/>
            <w:shd w:val="clear" w:color="auto" w:fill="D9D9D9" w:themeFill="background1" w:themeFillShade="D9"/>
          </w:tcPr>
          <w:p w:rsidR="00B16254" w:rsidRPr="00422E02" w:rsidRDefault="00EE06AE" w:rsidP="00EB0875">
            <w:pPr>
              <w:jc w:val="both"/>
              <w:rPr>
                <w:b/>
              </w:rPr>
            </w:pPr>
            <w:r w:rsidRPr="00422E02">
              <w:rPr>
                <w:b/>
              </w:rPr>
              <w:t>4</w:t>
            </w:r>
          </w:p>
        </w:tc>
        <w:tc>
          <w:tcPr>
            <w:tcW w:w="328" w:type="dxa"/>
            <w:shd w:val="clear" w:color="auto" w:fill="D9D9D9" w:themeFill="background1" w:themeFillShade="D9"/>
          </w:tcPr>
          <w:p w:rsidR="00B16254" w:rsidRPr="00422E02" w:rsidRDefault="00EE06AE" w:rsidP="00EB0875">
            <w:pPr>
              <w:jc w:val="both"/>
              <w:rPr>
                <w:b/>
              </w:rPr>
            </w:pPr>
            <w:r w:rsidRPr="00422E02">
              <w:rPr>
                <w:b/>
              </w:rPr>
              <w:t>5</w:t>
            </w:r>
          </w:p>
        </w:tc>
        <w:tc>
          <w:tcPr>
            <w:tcW w:w="328" w:type="dxa"/>
            <w:shd w:val="clear" w:color="auto" w:fill="D9D9D9" w:themeFill="background1" w:themeFillShade="D9"/>
          </w:tcPr>
          <w:p w:rsidR="00B16254" w:rsidRPr="00422E02" w:rsidRDefault="00EE06AE" w:rsidP="00EB0875">
            <w:pPr>
              <w:jc w:val="both"/>
              <w:rPr>
                <w:b/>
              </w:rPr>
            </w:pPr>
            <w:r w:rsidRPr="00422E02">
              <w:rPr>
                <w:b/>
              </w:rPr>
              <w:t>6</w:t>
            </w:r>
          </w:p>
        </w:tc>
        <w:tc>
          <w:tcPr>
            <w:tcW w:w="328" w:type="dxa"/>
            <w:shd w:val="clear" w:color="auto" w:fill="D9D9D9" w:themeFill="background1" w:themeFillShade="D9"/>
          </w:tcPr>
          <w:p w:rsidR="00B16254" w:rsidRPr="00422E02" w:rsidRDefault="00EE06AE" w:rsidP="00EB0875">
            <w:pPr>
              <w:jc w:val="both"/>
              <w:rPr>
                <w:b/>
              </w:rPr>
            </w:pPr>
            <w:r w:rsidRPr="00422E02">
              <w:rPr>
                <w:b/>
              </w:rPr>
              <w:t>7</w:t>
            </w:r>
          </w:p>
        </w:tc>
        <w:tc>
          <w:tcPr>
            <w:tcW w:w="367" w:type="dxa"/>
            <w:shd w:val="clear" w:color="auto" w:fill="D9D9D9" w:themeFill="background1" w:themeFillShade="D9"/>
          </w:tcPr>
          <w:p w:rsidR="00B16254" w:rsidRPr="00422E02" w:rsidRDefault="00EE06AE" w:rsidP="00EB0875">
            <w:pPr>
              <w:jc w:val="both"/>
              <w:rPr>
                <w:b/>
              </w:rPr>
            </w:pPr>
            <w:r w:rsidRPr="00422E02">
              <w:rPr>
                <w:b/>
              </w:rPr>
              <w:t>8</w:t>
            </w:r>
          </w:p>
        </w:tc>
      </w:tr>
      <w:tr w:rsidR="00B16254" w:rsidRPr="00422E02">
        <w:tc>
          <w:tcPr>
            <w:tcW w:w="6457" w:type="dxa"/>
            <w:shd w:val="clear" w:color="auto" w:fill="F2F2F2" w:themeFill="background1" w:themeFillShade="F2"/>
          </w:tcPr>
          <w:p w:rsidR="00B16254" w:rsidRPr="00422E02" w:rsidRDefault="00EE06AE" w:rsidP="00EB0875">
            <w:pPr>
              <w:pStyle w:val="ListParagraph"/>
              <w:ind w:left="270"/>
              <w:jc w:val="both"/>
              <w:rPr>
                <w:iCs/>
                <w:color w:val="000000"/>
              </w:rPr>
            </w:pPr>
            <w:r w:rsidRPr="00422E02">
              <w:rPr>
                <w:iCs/>
                <w:color w:val="000000"/>
              </w:rPr>
              <w:t>Perfectionnement des méthodes de travail à l</w:t>
            </w:r>
            <w:r w:rsidR="00422E02" w:rsidRPr="00422E02">
              <w:rPr>
                <w:iCs/>
                <w:color w:val="000000"/>
              </w:rPr>
              <w:t>’</w:t>
            </w:r>
            <w:r w:rsidRPr="00422E02">
              <w:rPr>
                <w:iCs/>
                <w:color w:val="000000"/>
              </w:rPr>
              <w:t>appui de l</w:t>
            </w:r>
            <w:r w:rsidR="00422E02" w:rsidRPr="00422E02">
              <w:rPr>
                <w:iCs/>
                <w:color w:val="000000"/>
              </w:rPr>
              <w:t>’</w:t>
            </w:r>
            <w:r w:rsidRPr="00422E02">
              <w:rPr>
                <w:iCs/>
                <w:color w:val="000000"/>
              </w:rPr>
              <w:t>action menée au niveau local (déjà réalisée, voir l</w:t>
            </w:r>
            <w:r w:rsidR="00422E02" w:rsidRPr="00422E02">
              <w:rPr>
                <w:iCs/>
                <w:color w:val="000000"/>
              </w:rPr>
              <w:t>’</w:t>
            </w:r>
            <w:r w:rsidRPr="00422E02">
              <w:rPr>
                <w:iCs/>
                <w:color w:val="000000"/>
              </w:rPr>
              <w:t>article 2 ci-dessus) ;</w:t>
            </w:r>
          </w:p>
        </w:tc>
        <w:tc>
          <w:tcPr>
            <w:tcW w:w="528" w:type="dxa"/>
            <w:shd w:val="clear" w:color="auto" w:fill="404040" w:themeFill="text1" w:themeFillTint="BF"/>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shd w:val="clear" w:color="auto" w:fill="F2F2F2" w:themeFill="background1" w:themeFillShade="F2"/>
          </w:tcPr>
          <w:p w:rsidR="00B16254" w:rsidRPr="00422E02" w:rsidRDefault="00EE06AE" w:rsidP="00235726">
            <w:pPr>
              <w:pStyle w:val="ListParagraph"/>
              <w:ind w:left="270"/>
              <w:jc w:val="both"/>
            </w:pPr>
            <w:r w:rsidRPr="00422E02">
              <w:rPr>
                <w:iCs/>
                <w:color w:val="000000"/>
              </w:rPr>
              <w:t xml:space="preserve">Évaluation initiale rapide des besoins </w:t>
            </w:r>
            <w:r w:rsidR="00235726">
              <w:rPr>
                <w:iCs/>
                <w:color w:val="000000"/>
              </w:rPr>
              <w:t>de</w:t>
            </w:r>
            <w:r w:rsidRPr="00422E02">
              <w:rPr>
                <w:iCs/>
                <w:color w:val="000000"/>
              </w:rPr>
              <w:t xml:space="preserve">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w:t>
            </w:r>
            <w:r w:rsidRPr="00422E02">
              <w:rPr>
                <w:iCs/>
                <w:color w:val="000000"/>
              </w:rPr>
              <w:t>pour comprendre les besoins plus vastes et identifier les domaines d</w:t>
            </w:r>
            <w:r w:rsidR="00422E02" w:rsidRPr="00422E02">
              <w:rPr>
                <w:iCs/>
                <w:color w:val="000000"/>
              </w:rPr>
              <w:t>’</w:t>
            </w:r>
            <w:r w:rsidRPr="00422E02">
              <w:rPr>
                <w:iCs/>
                <w:color w:val="000000"/>
              </w:rPr>
              <w:t>intervention prioritaires (déjà effectuées, voir l</w:t>
            </w:r>
            <w:r w:rsidR="00422E02" w:rsidRPr="00422E02">
              <w:rPr>
                <w:iCs/>
                <w:color w:val="000000"/>
              </w:rPr>
              <w:t>’</w:t>
            </w:r>
            <w:r w:rsidRPr="00422E02">
              <w:rPr>
                <w:iCs/>
                <w:color w:val="000000"/>
              </w:rPr>
              <w:t>article 1 ci-dessus)</w:t>
            </w:r>
            <w:r w:rsidRPr="00422E02">
              <w:t xml:space="preserve"> ; </w:t>
            </w:r>
          </w:p>
        </w:tc>
        <w:tc>
          <w:tcPr>
            <w:tcW w:w="528" w:type="dxa"/>
            <w:shd w:val="clear" w:color="auto" w:fill="404040" w:themeFill="text1" w:themeFillTint="BF"/>
          </w:tcPr>
          <w:p w:rsidR="00B16254" w:rsidRPr="00422E02" w:rsidRDefault="00B16254" w:rsidP="00EB0875">
            <w:pPr>
              <w:jc w:val="both"/>
            </w:pPr>
          </w:p>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ind w:left="270" w:hanging="270"/>
              <w:jc w:val="both"/>
            </w:pPr>
            <w:r w:rsidRPr="00422E02">
              <w:rPr>
                <w:iCs/>
                <w:color w:val="000000"/>
              </w:rPr>
              <w:t>Facilitation des communautés PALC (Apprentissage par l</w:t>
            </w:r>
            <w:r w:rsidR="00422E02" w:rsidRPr="00422E02">
              <w:rPr>
                <w:iCs/>
                <w:color w:val="000000"/>
              </w:rPr>
              <w:t>’</w:t>
            </w:r>
            <w:r w:rsidRPr="00422E02">
              <w:rPr>
                <w:iCs/>
                <w:color w:val="000000"/>
              </w:rPr>
              <w:t>action participative en situation de crise) pour qu</w:t>
            </w:r>
            <w:r w:rsidR="00422E02" w:rsidRPr="00422E02">
              <w:rPr>
                <w:iCs/>
                <w:color w:val="000000"/>
              </w:rPr>
              <w:t>’</w:t>
            </w:r>
            <w:r w:rsidRPr="00422E02">
              <w:rPr>
                <w:iCs/>
                <w:color w:val="000000"/>
              </w:rPr>
              <w:t>elles lancent leur propre analyse des opportunités de renforcement et d</w:t>
            </w:r>
            <w:r w:rsidR="00422E02" w:rsidRPr="00422E02">
              <w:rPr>
                <w:iCs/>
                <w:color w:val="000000"/>
              </w:rPr>
              <w:t>’</w:t>
            </w:r>
            <w:r w:rsidRPr="00422E02">
              <w:rPr>
                <w:iCs/>
                <w:color w:val="000000"/>
              </w:rPr>
              <w:t>expansion de l</w:t>
            </w:r>
            <w:r w:rsidR="00422E02" w:rsidRPr="00422E02">
              <w:rPr>
                <w:iCs/>
                <w:color w:val="000000"/>
              </w:rPr>
              <w:t>’</w:t>
            </w:r>
            <w:r w:rsidRPr="00422E02">
              <w:rPr>
                <w:iCs/>
                <w:color w:val="000000"/>
              </w:rPr>
              <w:t>auto-assistance et de l</w:t>
            </w:r>
            <w:r w:rsidR="00422E02" w:rsidRPr="00422E02">
              <w:rPr>
                <w:iCs/>
                <w:color w:val="000000"/>
              </w:rPr>
              <w:t>’</w:t>
            </w:r>
            <w:r w:rsidRPr="00422E02">
              <w:rPr>
                <w:iCs/>
                <w:color w:val="000000"/>
              </w:rPr>
              <w:t>apprentissage à partir de leurs propres expériences d</w:t>
            </w:r>
            <w:r w:rsidR="00422E02" w:rsidRPr="00422E02">
              <w:rPr>
                <w:iCs/>
                <w:color w:val="000000"/>
              </w:rPr>
              <w:t>’</w:t>
            </w:r>
            <w:r w:rsidRPr="00422E02">
              <w:rPr>
                <w:iCs/>
                <w:color w:val="000000"/>
              </w:rPr>
              <w:t>auto-assistance (voir ci-dessous pour plus de détails) ;</w:t>
            </w:r>
          </w:p>
        </w:tc>
        <w:tc>
          <w:tcPr>
            <w:tcW w:w="528" w:type="dxa"/>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235726">
            <w:pPr>
              <w:pStyle w:val="ListParagraph"/>
              <w:numPr>
                <w:ilvl w:val="0"/>
                <w:numId w:val="22"/>
              </w:numPr>
              <w:ind w:left="270" w:hanging="270"/>
              <w:jc w:val="both"/>
            </w:pPr>
            <w:r w:rsidRPr="00422E02">
              <w:t>Facilitation des GE et des OCB à élaborer et soumettre leurs propres propositions pour répondre aux critères et au ciblage des projets.</w:t>
            </w:r>
          </w:p>
        </w:tc>
        <w:tc>
          <w:tcPr>
            <w:tcW w:w="528" w:type="dxa"/>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ind w:left="270" w:hanging="270"/>
              <w:jc w:val="both"/>
            </w:pPr>
            <w:r w:rsidRPr="00422E02">
              <w:t xml:space="preserve">Examen des propositions, commentaires (le cas échéant), finalisation par les demandeurs, contre-vérification </w:t>
            </w:r>
            <w:r w:rsidR="00B14D63" w:rsidRPr="00422E02">
              <w:t>par</w:t>
            </w:r>
            <w:r w:rsidR="00B14D63">
              <w:t xml:space="preserve"> </w:t>
            </w:r>
            <w:r w:rsidR="00B14D63" w:rsidRPr="00422E02">
              <w:rPr>
                <w:i/>
                <w:color w:val="FF0000"/>
              </w:rPr>
              <w:t>insérez</w:t>
            </w:r>
            <w:r w:rsidRPr="00422E02">
              <w:t xml:space="preserve"> </w:t>
            </w:r>
            <w:r w:rsidRPr="00422E02">
              <w:rPr>
                <w:color w:val="FF0000"/>
              </w:rPr>
              <w:t xml:space="preserve"> </w:t>
            </w:r>
            <w:r w:rsidRPr="00422E02">
              <w:rPr>
                <w:i/>
                <w:color w:val="FF0000"/>
              </w:rPr>
              <w:t>le nom de l</w:t>
            </w:r>
            <w:r w:rsidR="00422E02" w:rsidRPr="00422E02">
              <w:rPr>
                <w:i/>
                <w:color w:val="FF0000"/>
              </w:rPr>
              <w:t>’</w:t>
            </w:r>
            <w:r w:rsidR="00B14D63" w:rsidRPr="00422E02">
              <w:rPr>
                <w:i/>
                <w:color w:val="FF0000"/>
              </w:rPr>
              <w:t>agence</w:t>
            </w:r>
            <w:r w:rsidR="00B14D63">
              <w:rPr>
                <w:i/>
                <w:color w:val="FF0000"/>
              </w:rPr>
              <w:t xml:space="preserve"> </w:t>
            </w:r>
            <w:r w:rsidR="00B14D63" w:rsidRPr="00422E02">
              <w:t>avec</w:t>
            </w:r>
            <w:r w:rsidRPr="00422E02">
              <w:t xml:space="preserve"> les communautés et les </w:t>
            </w:r>
            <w:r w:rsidR="00CE69CC">
              <w:t>UGL</w:t>
            </w:r>
            <w:r w:rsidRPr="00422E02">
              <w:t xml:space="preserve"> sur la légitimité, l</w:t>
            </w:r>
            <w:r w:rsidR="00422E02" w:rsidRPr="00422E02">
              <w:t>’</w:t>
            </w:r>
            <w:r w:rsidRPr="00422E02">
              <w:t>approbation de la communauté au sens large, la coordination ;</w:t>
            </w:r>
          </w:p>
        </w:tc>
        <w:tc>
          <w:tcPr>
            <w:tcW w:w="528" w:type="dxa"/>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ind w:left="270" w:hanging="270"/>
              <w:jc w:val="both"/>
            </w:pPr>
            <w:r w:rsidRPr="00422E02">
              <w:t>Décaissement de microfinancements pour les propositions retenues et affichage publique de l</w:t>
            </w:r>
            <w:r w:rsidR="00422E02" w:rsidRPr="00422E02">
              <w:t>’</w:t>
            </w:r>
            <w:r w:rsidRPr="00422E02">
              <w:t>information ;</w:t>
            </w:r>
          </w:p>
        </w:tc>
        <w:tc>
          <w:tcPr>
            <w:tcW w:w="528" w:type="dxa"/>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ind w:left="270" w:hanging="270"/>
              <w:jc w:val="both"/>
            </w:pPr>
            <w:r w:rsidRPr="00422E02">
              <w:t>Fourniture d</w:t>
            </w:r>
            <w:r w:rsidR="00422E02" w:rsidRPr="00422E02">
              <w:t>’</w:t>
            </w:r>
            <w:r w:rsidRPr="00422E02">
              <w:t>une formation financière rapide et d</w:t>
            </w:r>
            <w:r w:rsidR="00422E02" w:rsidRPr="00422E02">
              <w:t>’</w:t>
            </w:r>
            <w:r w:rsidRPr="00422E02">
              <w:t>une formation professionnelle supplémentaire axée sur la demande lorsque cela est approprié et possible dans les limites du budget ;</w:t>
            </w:r>
          </w:p>
        </w:tc>
        <w:tc>
          <w:tcPr>
            <w:tcW w:w="528" w:type="dxa"/>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ind w:left="270" w:hanging="270"/>
              <w:jc w:val="both"/>
            </w:pPr>
            <w:r w:rsidRPr="00422E02">
              <w:t xml:space="preserve">Les groupes locaux mettent en œuvre leurs interventions de secours financées, avec un suivi initial par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au besoin ;</w:t>
            </w:r>
          </w:p>
        </w:tc>
        <w:tc>
          <w:tcPr>
            <w:tcW w:w="5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ind w:left="270" w:hanging="270"/>
              <w:jc w:val="both"/>
            </w:pPr>
            <w:r w:rsidRPr="00422E02">
              <w:t xml:space="preserve">Les groupes de mise en œuvre soumettent leurs rapports finaux à </w:t>
            </w:r>
            <w:r w:rsidRPr="00422E02">
              <w:rPr>
                <w:i/>
                <w:color w:val="FF0000"/>
              </w:rPr>
              <w:t>insérez</w:t>
            </w:r>
            <w:r w:rsidRPr="00422E02">
              <w:t xml:space="preserve"> </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 </w:t>
            </w:r>
          </w:p>
        </w:tc>
        <w:tc>
          <w:tcPr>
            <w:tcW w:w="5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ind w:left="360"/>
              <w:jc w:val="both"/>
            </w:pPr>
            <w:r w:rsidRPr="00422E02">
              <w:t>Examen de l</w:t>
            </w:r>
            <w:r w:rsidR="00422E02" w:rsidRPr="00422E02">
              <w:t>’</w:t>
            </w:r>
            <w:r w:rsidRPr="00422E02">
              <w:t xml:space="preserve">apprentissage participatif animé </w:t>
            </w:r>
            <w:r w:rsidR="00B14D63" w:rsidRPr="00422E02">
              <w:t>par</w:t>
            </w:r>
            <w:r w:rsidR="00B14D63">
              <w:t xml:space="preserve"> </w:t>
            </w:r>
            <w:r w:rsidR="00B14D63" w:rsidRPr="00422E02">
              <w:rPr>
                <w:color w:val="FF0000"/>
              </w:rPr>
              <w:t>insérez</w:t>
            </w:r>
            <w:r w:rsidRPr="00422E02">
              <w:rPr>
                <w:color w:val="FF0000"/>
              </w:rPr>
              <w:t xml:space="preserve"> le nom de l</w:t>
            </w:r>
            <w:r w:rsidR="00422E02" w:rsidRPr="00422E02">
              <w:rPr>
                <w:color w:val="FF0000"/>
              </w:rPr>
              <w:t>’</w:t>
            </w:r>
            <w:r w:rsidRPr="00422E02">
              <w:rPr>
                <w:color w:val="FF0000"/>
              </w:rPr>
              <w:t xml:space="preserve">agence </w:t>
            </w:r>
            <w:r w:rsidRPr="00422E02">
              <w:t xml:space="preserve">de toutes les interventions et de tous les enseignements saisis pour que les groupes communautaires puissent les utiliser et </w:t>
            </w:r>
            <w:r w:rsidR="00B14D63" w:rsidRPr="00422E02">
              <w:t>pour</w:t>
            </w:r>
            <w:r w:rsidR="00B14D63">
              <w:t xml:space="preserve"> </w:t>
            </w:r>
            <w:r w:rsidR="00B14D63" w:rsidRPr="00422E02">
              <w:rPr>
                <w:color w:val="FF0000"/>
              </w:rPr>
              <w:t>insérez</w:t>
            </w:r>
            <w:r w:rsidRPr="00422E02">
              <w:rPr>
                <w:color w:val="FF0000"/>
              </w:rPr>
              <w:t xml:space="preserve"> le nom de l</w:t>
            </w:r>
            <w:r w:rsidR="00422E02" w:rsidRPr="00422E02">
              <w:rPr>
                <w:color w:val="FF0000"/>
              </w:rPr>
              <w:t>’</w:t>
            </w:r>
            <w:r w:rsidRPr="00422E02">
              <w:rPr>
                <w:color w:val="FF0000"/>
              </w:rPr>
              <w:t>agence</w:t>
            </w:r>
            <w:r w:rsidRPr="00422E02">
              <w:t xml:space="preserve"> ; </w:t>
            </w:r>
          </w:p>
        </w:tc>
        <w:tc>
          <w:tcPr>
            <w:tcW w:w="5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28" w:type="dxa"/>
            <w:shd w:val="clear" w:color="auto" w:fill="404040" w:themeFill="text1" w:themeFillTint="BF"/>
          </w:tcPr>
          <w:p w:rsidR="00B16254" w:rsidRPr="00422E02" w:rsidRDefault="00B16254" w:rsidP="00EB0875">
            <w:pPr>
              <w:jc w:val="both"/>
            </w:pPr>
          </w:p>
        </w:tc>
        <w:tc>
          <w:tcPr>
            <w:tcW w:w="367" w:type="dxa"/>
          </w:tcPr>
          <w:p w:rsidR="00B16254" w:rsidRPr="00422E02" w:rsidRDefault="00B16254" w:rsidP="00EB0875">
            <w:pPr>
              <w:jc w:val="both"/>
            </w:pPr>
          </w:p>
        </w:tc>
      </w:tr>
      <w:tr w:rsidR="00B16254" w:rsidRPr="00422E02">
        <w:tc>
          <w:tcPr>
            <w:tcW w:w="6457" w:type="dxa"/>
          </w:tcPr>
          <w:p w:rsidR="00B16254" w:rsidRPr="00422E02" w:rsidRDefault="00EE06AE" w:rsidP="00EB0875">
            <w:pPr>
              <w:pStyle w:val="ListParagraph"/>
              <w:numPr>
                <w:ilvl w:val="0"/>
                <w:numId w:val="22"/>
              </w:numPr>
              <w:tabs>
                <w:tab w:val="left" w:pos="360"/>
              </w:tabs>
              <w:ind w:left="270" w:hanging="270"/>
              <w:jc w:val="both"/>
            </w:pP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soumet le rapport final </w:t>
            </w:r>
            <w:r w:rsidR="00B14D63" w:rsidRPr="00422E02">
              <w:t>à</w:t>
            </w:r>
            <w:r w:rsidR="00B14D63">
              <w:t xml:space="preserve"> </w:t>
            </w:r>
            <w:r w:rsidR="00B14D63" w:rsidRPr="00422E02">
              <w:rPr>
                <w:i/>
                <w:color w:val="FF0000"/>
              </w:rPr>
              <w:t>insérez</w:t>
            </w:r>
            <w:r w:rsidRPr="00422E02">
              <w:rPr>
                <w:color w:val="FF0000"/>
              </w:rPr>
              <w:t xml:space="preserve"> </w:t>
            </w:r>
            <w:r w:rsidRPr="00422E02">
              <w:rPr>
                <w:i/>
                <w:color w:val="FF0000"/>
              </w:rPr>
              <w:t>le nom du donneur</w:t>
            </w:r>
            <w:r w:rsidRPr="00422E02">
              <w:t xml:space="preserve"> ; </w:t>
            </w:r>
          </w:p>
        </w:tc>
        <w:tc>
          <w:tcPr>
            <w:tcW w:w="528" w:type="dxa"/>
          </w:tcPr>
          <w:p w:rsidR="00B16254" w:rsidRPr="00422E02" w:rsidRDefault="00B16254" w:rsidP="00EB0875">
            <w:pPr>
              <w:jc w:val="both"/>
            </w:pPr>
          </w:p>
        </w:tc>
        <w:tc>
          <w:tcPr>
            <w:tcW w:w="328" w:type="dxa"/>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28" w:type="dxa"/>
            <w:shd w:val="clear" w:color="auto" w:fill="FFFFFF" w:themeFill="background1"/>
          </w:tcPr>
          <w:p w:rsidR="00B16254" w:rsidRPr="00422E02" w:rsidRDefault="00B16254" w:rsidP="00EB0875">
            <w:pPr>
              <w:jc w:val="both"/>
            </w:pPr>
          </w:p>
        </w:tc>
        <w:tc>
          <w:tcPr>
            <w:tcW w:w="367" w:type="dxa"/>
            <w:shd w:val="clear" w:color="auto" w:fill="404040" w:themeFill="text1" w:themeFillTint="BF"/>
          </w:tcPr>
          <w:p w:rsidR="00B16254" w:rsidRPr="00422E02" w:rsidRDefault="00B16254" w:rsidP="00EB0875">
            <w:pPr>
              <w:jc w:val="both"/>
            </w:pPr>
          </w:p>
        </w:tc>
      </w:tr>
    </w:tbl>
    <w:p w:rsidR="00B16254" w:rsidRPr="00422E02" w:rsidRDefault="00B16254" w:rsidP="00EB0875">
      <w:pPr>
        <w:jc w:val="both"/>
        <w:rPr>
          <w:u w:val="single"/>
        </w:rPr>
      </w:pPr>
    </w:p>
    <w:p w:rsidR="00B16254" w:rsidRPr="00422E02" w:rsidRDefault="00EE06AE" w:rsidP="00EB0875">
      <w:pPr>
        <w:jc w:val="both"/>
        <w:rPr>
          <w:u w:val="single"/>
        </w:rPr>
      </w:pPr>
      <w:r w:rsidRPr="00422E02">
        <w:rPr>
          <w:u w:val="single"/>
        </w:rPr>
        <w:lastRenderedPageBreak/>
        <w:t>Préparation de l</w:t>
      </w:r>
      <w:r w:rsidR="00422E02" w:rsidRPr="00422E02">
        <w:rPr>
          <w:u w:val="single"/>
        </w:rPr>
        <w:t>’</w:t>
      </w:r>
      <w:r w:rsidRPr="00422E02">
        <w:rPr>
          <w:u w:val="single"/>
        </w:rPr>
        <w:t>avant-projet</w:t>
      </w:r>
    </w:p>
    <w:p w:rsidR="00B16254" w:rsidRPr="00422E02" w:rsidRDefault="00EE06AE" w:rsidP="00EB0875">
      <w:pPr>
        <w:jc w:val="both"/>
      </w:pPr>
      <w:r w:rsidRPr="00422E02">
        <w:rPr>
          <w:color w:val="000000"/>
        </w:rPr>
        <w:t xml:space="preserve">Le personnel de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 xml:space="preserve">agence </w:t>
      </w:r>
      <w:r w:rsidRPr="00422E02">
        <w:rPr>
          <w:color w:val="000000"/>
        </w:rPr>
        <w:t>a déjà reçu une formation approfondie pour faciliter le processus de réponse SCLR et est en attente pour activer l</w:t>
      </w:r>
      <w:r w:rsidR="00422E02" w:rsidRPr="00422E02">
        <w:rPr>
          <w:color w:val="000000"/>
        </w:rPr>
        <w:t>’</w:t>
      </w:r>
      <w:r w:rsidRPr="00422E02">
        <w:rPr>
          <w:color w:val="000000"/>
        </w:rPr>
        <w:t>analyse rapide des opportunités et l</w:t>
      </w:r>
      <w:r w:rsidR="00422E02" w:rsidRPr="00422E02">
        <w:rPr>
          <w:color w:val="000000"/>
        </w:rPr>
        <w:t>’</w:t>
      </w:r>
      <w:r w:rsidRPr="00422E02">
        <w:rPr>
          <w:color w:val="000000"/>
        </w:rPr>
        <w:t>appel local de propositions d</w:t>
      </w:r>
      <w:r w:rsidR="00422E02" w:rsidRPr="00422E02">
        <w:rPr>
          <w:color w:val="000000"/>
        </w:rPr>
        <w:t>’</w:t>
      </w:r>
      <w:r w:rsidRPr="00422E02">
        <w:rPr>
          <w:color w:val="000000"/>
        </w:rPr>
        <w:t>urgence. Il a déjà élaboré les lignes directrices, les procédures et les capacités nécessaires pour faciliter la réponse SCLR. Les dirigeants de la communauté locale sont également en attente et ont également recueilli une quantité considérable de données décrivant la situation d</w:t>
      </w:r>
      <w:r w:rsidR="00422E02" w:rsidRPr="00422E02">
        <w:rPr>
          <w:color w:val="000000"/>
        </w:rPr>
        <w:t>’</w:t>
      </w:r>
      <w:r w:rsidRPr="00422E02">
        <w:rPr>
          <w:color w:val="000000"/>
        </w:rPr>
        <w:t>urgence et évaluant les besoins. Une première évaluation de la capacité des groupes communautaires à accéder aux marchés a également été réalisée, indiquant une applicabilité élevée de l</w:t>
      </w:r>
      <w:r w:rsidR="00422E02" w:rsidRPr="00422E02">
        <w:rPr>
          <w:color w:val="000000"/>
        </w:rPr>
        <w:t>’</w:t>
      </w:r>
      <w:r w:rsidRPr="00422E02">
        <w:rPr>
          <w:color w:val="000000"/>
        </w:rPr>
        <w:t>approche SCLR envisagée.</w:t>
      </w:r>
    </w:p>
    <w:p w:rsidR="00B16254" w:rsidRPr="00422E02" w:rsidRDefault="00B16254" w:rsidP="00EB0875">
      <w:pPr>
        <w:jc w:val="both"/>
        <w:rPr>
          <w:u w:val="single"/>
        </w:rPr>
      </w:pPr>
    </w:p>
    <w:p w:rsidR="00B16254" w:rsidRPr="00422E02" w:rsidRDefault="00EE06AE" w:rsidP="00EB0875">
      <w:pPr>
        <w:jc w:val="both"/>
        <w:rPr>
          <w:u w:val="single"/>
        </w:rPr>
      </w:pPr>
      <w:r w:rsidRPr="00422E02">
        <w:rPr>
          <w:u w:val="single"/>
        </w:rPr>
        <w:t xml:space="preserve">Introduction et facilitation du PALC (Apprentissage par action participative en situation de crise) </w:t>
      </w:r>
    </w:p>
    <w:p w:rsidR="00B16254" w:rsidRPr="00422E02" w:rsidRDefault="00EE06AE" w:rsidP="00EB0875">
      <w:pPr>
        <w:jc w:val="both"/>
      </w:pPr>
      <w:r w:rsidRPr="00422E02">
        <w:t>Le projet commence par une série de réunions communautaires rapides (avec des dirigeants officiels et traditionnels, des groupes de femmes et des jeunes) pour présenter l</w:t>
      </w:r>
      <w:r w:rsidR="00422E02" w:rsidRPr="00422E02">
        <w:t>’</w:t>
      </w:r>
      <w:r w:rsidRPr="00422E02">
        <w:t xml:space="preserve">intervention de secours entreprise par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et expliquer qu</w:t>
      </w:r>
      <w:r w:rsidR="00422E02" w:rsidRPr="00422E02">
        <w:t>’</w:t>
      </w:r>
      <w:r w:rsidRPr="00422E02">
        <w:t>elle aidera les communautés touchées par la crise à jouer un rôle moteur dans leur propre réponse d</w:t>
      </w:r>
      <w:r w:rsidR="00422E02" w:rsidRPr="00422E02">
        <w:t>’</w:t>
      </w:r>
      <w:r w:rsidRPr="00422E02">
        <w:t>urgence coordonnée. Les premiers participants à la première évaluation de l</w:t>
      </w:r>
      <w:r w:rsidR="00422E02" w:rsidRPr="00422E02">
        <w:t>’</w:t>
      </w:r>
      <w:r w:rsidRPr="00422E02">
        <w:t>apprentissage par l</w:t>
      </w:r>
      <w:r w:rsidR="00422E02" w:rsidRPr="00422E02">
        <w:t>’</w:t>
      </w:r>
      <w:r w:rsidRPr="00422E02">
        <w:t xml:space="preserve">action participative (PALC) sont identifiés et soutenus pour démarrer rapidement leur enquête appréciative sur la réponse locale autonome des survivants. Le PALC est un processus en cours qui vise à devenir entièrement dirigé par la communauté et à continuer tout au long de la réponse à la crise. Cependant, au début de cette intervention, il est crucial que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 xml:space="preserve">agence </w:t>
      </w:r>
      <w:r w:rsidRPr="00422E02">
        <w:t>initie et facilite une première étape cruciale pour mobiliser et animer les survivants actifs afin qu</w:t>
      </w:r>
      <w:r w:rsidR="00422E02" w:rsidRPr="00422E02">
        <w:t>’</w:t>
      </w:r>
      <w:r w:rsidRPr="00422E02">
        <w:t>ils réalisent rapidement leur propre évaluation des multiples façons dont leur communauté répond déjà avec succès à la crise. À l</w:t>
      </w:r>
      <w:r w:rsidR="00422E02" w:rsidRPr="00422E02">
        <w:t>’</w:t>
      </w:r>
      <w:r w:rsidRPr="00422E02">
        <w:t>aide d</w:t>
      </w:r>
      <w:r w:rsidR="00422E02" w:rsidRPr="00422E02">
        <w:t>’</w:t>
      </w:r>
      <w:r w:rsidRPr="00422E02">
        <w:t>une méthodologie « d</w:t>
      </w:r>
      <w:r w:rsidR="00885917">
        <w:t>’</w:t>
      </w:r>
      <w:r w:rsidRPr="00422E02">
        <w:t>enquête d</w:t>
      </w:r>
      <w:r w:rsidR="00422E02" w:rsidRPr="00422E02">
        <w:t>’</w:t>
      </w:r>
      <w:r w:rsidRPr="00422E02">
        <w:t>appréciation » adaptée, le PALC s</w:t>
      </w:r>
      <w:r w:rsidR="00422E02" w:rsidRPr="00422E02">
        <w:t>’</w:t>
      </w:r>
      <w:r w:rsidRPr="00422E02">
        <w:t>appuie sur le principe que les communautés sont les « premiers intervenants ». Il reconnaît qu</w:t>
      </w:r>
      <w:r w:rsidR="00422E02" w:rsidRPr="00422E02">
        <w:t>’</w:t>
      </w:r>
      <w:r w:rsidRPr="00422E02">
        <w:t>au sein de chaque population affectée par une crise, il existe de multiples capacités d</w:t>
      </w:r>
      <w:r w:rsidR="00422E02" w:rsidRPr="00422E02">
        <w:t>’</w:t>
      </w:r>
      <w:r w:rsidRPr="00422E02">
        <w:t>intervention efficaces qui poussent les organismes locaux à intervenir avant l</w:t>
      </w:r>
      <w:r w:rsidR="00422E02" w:rsidRPr="00422E02">
        <w:t>’</w:t>
      </w:r>
      <w:r w:rsidRPr="00422E02">
        <w:t>arrivée de l</w:t>
      </w:r>
      <w:r w:rsidR="00422E02" w:rsidRPr="00422E02">
        <w:t>’</w:t>
      </w:r>
      <w:r w:rsidRPr="00422E02">
        <w:t xml:space="preserve">aide extérieure  et dont beaucoup peuvent être efficacement soutenues (que ce soit par des informations, des compétences, des fonds ou une coordination) pour se développer rapidement en ampleur et impact. </w:t>
      </w:r>
    </w:p>
    <w:p w:rsidR="00B16254" w:rsidRPr="00422E02" w:rsidRDefault="00B16254" w:rsidP="00EB0875">
      <w:pPr>
        <w:jc w:val="both"/>
      </w:pPr>
    </w:p>
    <w:p w:rsidR="00B16254" w:rsidRPr="00422E02" w:rsidRDefault="00EE06AE" w:rsidP="00EB0875">
      <w:pPr>
        <w:jc w:val="both"/>
        <w:rPr>
          <w:u w:val="single"/>
        </w:rPr>
      </w:pPr>
      <w:r w:rsidRPr="00422E02">
        <w:rPr>
          <w:i/>
        </w:rPr>
        <w:t xml:space="preserve">Les directives du PALC </w:t>
      </w:r>
      <w:r w:rsidRPr="00422E02">
        <w:t>fournissent plus de détails sur le processus du PALC. Le PALC lance la génération rapide de plans d</w:t>
      </w:r>
      <w:r w:rsidR="00422E02" w:rsidRPr="00422E02">
        <w:t>’</w:t>
      </w:r>
      <w:r w:rsidRPr="00422E02">
        <w:t>intervention d</w:t>
      </w:r>
      <w:r w:rsidR="00422E02" w:rsidRPr="00422E02">
        <w:t>’</w:t>
      </w:r>
      <w:r w:rsidRPr="00422E02">
        <w:t>urgence à partir des communautés affectées par la crise elles-mêmes. Soutenir les demandeurs de propositions qui répondent aux critères de pertinence, de besoin, de ciblage, de responsabilité, etc. (voir ci-dessous) pour mettre en œuvre leurs propres initiatives d</w:t>
      </w:r>
      <w:r w:rsidR="00422E02" w:rsidRPr="00422E02">
        <w:t>’</w:t>
      </w:r>
      <w:r w:rsidRPr="00422E02">
        <w:t>aide d</w:t>
      </w:r>
      <w:r w:rsidR="00422E02" w:rsidRPr="00422E02">
        <w:t>’</w:t>
      </w:r>
      <w:r w:rsidRPr="00422E02">
        <w:t>urgence constitue un élément central de l</w:t>
      </w:r>
      <w:r w:rsidR="00422E02" w:rsidRPr="00422E02">
        <w:t>’</w:t>
      </w:r>
      <w:r w:rsidRPr="00422E02">
        <w:t>approche d</w:t>
      </w:r>
      <w:r w:rsidR="00422E02" w:rsidRPr="00422E02">
        <w:t>’</w:t>
      </w:r>
      <w:r w:rsidRPr="00422E02">
        <w:t>intervention, comme suit :</w:t>
      </w:r>
    </w:p>
    <w:p w:rsidR="00B16254" w:rsidRPr="00422E02" w:rsidRDefault="00B16254" w:rsidP="00EB0875">
      <w:pPr>
        <w:jc w:val="both"/>
        <w:rPr>
          <w:u w:val="single"/>
        </w:rPr>
      </w:pPr>
    </w:p>
    <w:p w:rsidR="00B16254" w:rsidRPr="00422E02" w:rsidRDefault="00EE06AE" w:rsidP="00EB0875">
      <w:pPr>
        <w:jc w:val="both"/>
        <w:rPr>
          <w:u w:val="single"/>
        </w:rPr>
      </w:pPr>
      <w:r w:rsidRPr="00422E02">
        <w:rPr>
          <w:u w:val="single"/>
        </w:rPr>
        <w:t>Mise en place de microfinancements</w:t>
      </w:r>
    </w:p>
    <w:p w:rsidR="00B16254" w:rsidRPr="00422E02" w:rsidRDefault="00EE06AE" w:rsidP="00EB0875">
      <w:pPr>
        <w:jc w:val="both"/>
      </w:pPr>
      <w:r w:rsidRPr="00422E02">
        <w:t>Les étapes générales de l</w:t>
      </w:r>
      <w:r w:rsidR="00422E02" w:rsidRPr="00422E02">
        <w:t>’</w:t>
      </w:r>
      <w:r w:rsidRPr="00422E02">
        <w:t>octroi rapide de microfinancements sont expliquées et les paramètres directeurs (y compris les questions clés de ciblage, de responsabilité et de transparence, de coordination, de sensibilité au genre, de sensibilité aux conflits).</w:t>
      </w:r>
      <w:r w:rsidR="00885917">
        <w:t xml:space="preserve"> </w:t>
      </w:r>
      <w:r w:rsidRPr="00422E02">
        <w:t xml:space="preserve">Dès le départ, le montant total du budget disponible pour les microfinancements est révélé en toute </w:t>
      </w:r>
      <w:r w:rsidR="00B14D63" w:rsidRPr="00422E02">
        <w:t>transparence</w:t>
      </w:r>
      <w:r w:rsidRPr="00422E02">
        <w:t xml:space="preserve"> et précise que, même si toute demande qui satisfait aux critères est la bienvenue (tel qu</w:t>
      </w:r>
      <w:r w:rsidR="00422E02" w:rsidRPr="00422E02">
        <w:t>’</w:t>
      </w:r>
      <w:r w:rsidRPr="00422E02">
        <w:t xml:space="preserve">expliqué dans les Lignes directrices nº 2 sur les microfinancements), toutes les propositions </w:t>
      </w:r>
      <w:r w:rsidRPr="00422E02">
        <w:rPr>
          <w:u w:val="single"/>
        </w:rPr>
        <w:t>ne pourront pas</w:t>
      </w:r>
      <w:r w:rsidRPr="00885917">
        <w:t xml:space="preserve"> </w:t>
      </w:r>
      <w:r w:rsidRPr="00422E02">
        <w:t>être financées. Le budget disponible fixe une limite maximale, tout en exigeant que les propositions atteignent encore un niveau minimal de qualité pour pouvoir être financées.</w:t>
      </w:r>
    </w:p>
    <w:p w:rsidR="00B16254" w:rsidRPr="00422E02" w:rsidRDefault="00B16254" w:rsidP="00EB0875">
      <w:pPr>
        <w:jc w:val="both"/>
        <w:rPr>
          <w:u w:val="single"/>
        </w:rPr>
      </w:pPr>
    </w:p>
    <w:p w:rsidR="00B16254" w:rsidRPr="00422E02" w:rsidRDefault="00EE06AE" w:rsidP="00EB0875">
      <w:pPr>
        <w:jc w:val="both"/>
      </w:pPr>
      <w:r w:rsidRPr="00422E02">
        <w:t xml:space="preserve">Le projet déboursera </w:t>
      </w:r>
      <w:r w:rsidRPr="00422E02">
        <w:rPr>
          <w:color w:val="FF0000"/>
          <w:highlight w:val="yellow"/>
        </w:rPr>
        <w:t>x</w:t>
      </w:r>
      <w:r w:rsidRPr="00422E02">
        <w:rPr>
          <w:highlight w:val="yellow"/>
        </w:rPr>
        <w:t xml:space="preserve"> microfinancements d</w:t>
      </w:r>
      <w:r w:rsidR="00422E02" w:rsidRPr="00422E02">
        <w:rPr>
          <w:highlight w:val="yellow"/>
        </w:rPr>
        <w:t>’</w:t>
      </w:r>
      <w:r w:rsidRPr="00422E02">
        <w:rPr>
          <w:highlight w:val="yellow"/>
        </w:rPr>
        <w:t xml:space="preserve">une valeur </w:t>
      </w:r>
      <w:r w:rsidRPr="00422E02">
        <w:t xml:space="preserve">moyenne de </w:t>
      </w:r>
      <w:r w:rsidRPr="00422E02">
        <w:rPr>
          <w:color w:val="FF0000"/>
        </w:rPr>
        <w:t xml:space="preserve">XYZ,000 devise </w:t>
      </w:r>
      <w:r w:rsidRPr="00422E02">
        <w:t xml:space="preserve">chacun, pour un montant total de microfinancement de </w:t>
      </w:r>
      <w:r w:rsidRPr="00422E02">
        <w:rPr>
          <w:color w:val="FF0000"/>
          <w:highlight w:val="yellow"/>
        </w:rPr>
        <w:t xml:space="preserve"> x</w:t>
      </w:r>
      <w:r w:rsidRPr="00422E02">
        <w:t xml:space="preserve">  </w:t>
      </w:r>
      <w:r w:rsidRPr="00422E02">
        <w:rPr>
          <w:color w:val="FF0000"/>
        </w:rPr>
        <w:t>devise</w:t>
      </w:r>
      <w:r w:rsidRPr="00422E02">
        <w:t xml:space="preserve">. Cela signifie que </w:t>
      </w:r>
      <w:r w:rsidRPr="00422E02">
        <w:rPr>
          <w:highlight w:val="yellow"/>
        </w:rPr>
        <w:t>... %</w:t>
      </w:r>
      <w:r w:rsidRPr="00422E02">
        <w:t xml:space="preserve"> </w:t>
      </w:r>
      <w:r w:rsidRPr="00422E02">
        <w:rPr>
          <w:color w:val="7030A0"/>
        </w:rPr>
        <w:t>(</w:t>
      </w:r>
      <w:r w:rsidRPr="00422E02">
        <w:rPr>
          <w:i/>
          <w:color w:val="7030A0"/>
        </w:rPr>
        <w:t>budget total divisé par le total de tous les microfinancements)</w:t>
      </w:r>
      <w:r w:rsidRPr="00422E02">
        <w:rPr>
          <w:color w:val="7030A0"/>
        </w:rPr>
        <w:t xml:space="preserve"> </w:t>
      </w:r>
      <w:r w:rsidRPr="00422E02">
        <w:t>des dépenses totales du projet vont directement aux bénéficiaires pour gérer leur propre réponse en dehors du soutien aux activités de renforcement des capacités par le biais d</w:t>
      </w:r>
      <w:r w:rsidR="00422E02" w:rsidRPr="00422E02">
        <w:t>’</w:t>
      </w:r>
      <w:r w:rsidRPr="00422E02">
        <w:t>une assistance technique et d</w:t>
      </w:r>
      <w:r w:rsidR="00422E02" w:rsidRPr="00422E02">
        <w:t>’</w:t>
      </w:r>
      <w:r w:rsidRPr="00422E02">
        <w:t>un soutien aux volontaires/responsables au niveau communautaire</w:t>
      </w:r>
      <w:r w:rsidRPr="00885917">
        <w:t>.</w:t>
      </w:r>
      <w:r w:rsidRPr="00422E02">
        <w:t xml:space="preserve"> Par conséquent, le budget détaillé ci-joint servira pour le moment de guide général.</w:t>
      </w:r>
      <w:r w:rsidRPr="00422E02">
        <w:br/>
        <w:t xml:space="preserve"> </w:t>
      </w:r>
    </w:p>
    <w:p w:rsidR="00B16254" w:rsidRPr="00422E02" w:rsidRDefault="00B16254" w:rsidP="00EB0875">
      <w:pPr>
        <w:jc w:val="both"/>
      </w:pPr>
    </w:p>
    <w:p w:rsidR="00B16254" w:rsidRPr="00422E02" w:rsidRDefault="00EE06AE" w:rsidP="00EB0875">
      <w:pPr>
        <w:jc w:val="both"/>
      </w:pPr>
      <w:r w:rsidRPr="00422E02">
        <w:t>Les groupes financés utiliseront les transports locaux pour atteindre les marchés et les sources d</w:t>
      </w:r>
      <w:r w:rsidR="00422E02" w:rsidRPr="00422E02">
        <w:t>’</w:t>
      </w:r>
      <w:r w:rsidRPr="00422E02">
        <w:t>apports les plus appropriés dont ils ont besoin, sur la base de leur connaissance approfondie des marchés locaux, des fournisseurs, des options de transport et des coûts locaux (tout en étant également tenus d</w:t>
      </w:r>
      <w:r w:rsidR="00422E02" w:rsidRPr="00422E02">
        <w:t>’</w:t>
      </w:r>
      <w:r w:rsidRPr="00422E02">
        <w:t>utiliser les directives en matière d</w:t>
      </w:r>
      <w:r w:rsidR="00422E02" w:rsidRPr="00422E02">
        <w:t>’</w:t>
      </w:r>
      <w:r w:rsidRPr="00422E02">
        <w:t>achats fournies par le projet). Ils incluront bien sûr la location de moyens de transport dans leur budget, mais ils seront bien placés pour tirer parti de toutes les possibilités d</w:t>
      </w:r>
      <w:r w:rsidR="00422E02" w:rsidRPr="00422E02">
        <w:t>’</w:t>
      </w:r>
      <w:r w:rsidRPr="00422E02">
        <w:t>obtenir les coûts les plus bas et de bénéficier d</w:t>
      </w:r>
      <w:r w:rsidR="00422E02" w:rsidRPr="00422E02">
        <w:t>’</w:t>
      </w:r>
      <w:r w:rsidRPr="00422E02">
        <w:t>un soutien supplémentaire non financier, en nature et en main-d</w:t>
      </w:r>
      <w:r w:rsidR="00422E02" w:rsidRPr="00422E02">
        <w:t>’</w:t>
      </w:r>
      <w:r w:rsidRPr="00422E02">
        <w:t>œuvre.</w:t>
      </w:r>
      <w:r w:rsidRPr="00422E02">
        <w:br/>
        <w:t xml:space="preserve">Au cours de la mise en œuvre, le personnel de </w:t>
      </w:r>
      <w:r w:rsidRPr="00422E02">
        <w:rPr>
          <w:i/>
          <w:color w:val="FF0000"/>
        </w:rPr>
        <w:t>insérez</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sera disponible pour aider si nécessaire et pour entreprendre une surveillance discrète si </w:t>
      </w:r>
      <w:r w:rsidR="00CD798B">
        <w:t>besoin</w:t>
      </w:r>
      <w:r w:rsidRPr="00422E02">
        <w:t xml:space="preserve">. </w:t>
      </w:r>
    </w:p>
    <w:p w:rsidR="00B16254" w:rsidRPr="00422E02" w:rsidRDefault="00B16254" w:rsidP="00EB0875">
      <w:pPr>
        <w:jc w:val="both"/>
      </w:pPr>
    </w:p>
    <w:p w:rsidR="00B16254" w:rsidRPr="00422E02" w:rsidRDefault="00EE06AE" w:rsidP="00EB0875">
      <w:pPr>
        <w:jc w:val="both"/>
        <w:rPr>
          <w:u w:val="single"/>
        </w:rPr>
      </w:pPr>
      <w:r w:rsidRPr="00422E02">
        <w:rPr>
          <w:u w:val="single"/>
        </w:rPr>
        <w:t>Évaluation et enseignements tirés pour une résilience à plus long terme</w:t>
      </w:r>
    </w:p>
    <w:p w:rsidR="00B16254" w:rsidRPr="00422E02" w:rsidRDefault="00EE06AE" w:rsidP="00EB0875">
      <w:pPr>
        <w:jc w:val="both"/>
      </w:pPr>
      <w:r w:rsidRPr="00422E02">
        <w:t>À la fin de chaque projet, les bénéficiaires de micro-projets soumettront leurs rapports et comptes finaux (Lignes directrices nº 9 et nº 10 sur les microfinancements). Les rapports narratifs qu</w:t>
      </w:r>
      <w:r w:rsidR="00422E02" w:rsidRPr="00422E02">
        <w:t>’</w:t>
      </w:r>
      <w:r w:rsidRPr="00422E02">
        <w:t>ils utilisent, bien que simples et concis, mettront l</w:t>
      </w:r>
      <w:r w:rsidR="00422E02" w:rsidRPr="00422E02">
        <w:t>’</w:t>
      </w:r>
      <w:r w:rsidRPr="00422E02">
        <w:t xml:space="preserve">accent sur les enseignements tirés. Une fois que ces rapports auront été reçus, </w:t>
      </w:r>
      <w:r w:rsidRPr="00422E02">
        <w:rPr>
          <w:i/>
          <w:color w:val="FF0000"/>
        </w:rPr>
        <w:t>insérez</w:t>
      </w:r>
      <w:r w:rsidRPr="00422E02">
        <w:t xml:space="preserve"> </w:t>
      </w:r>
      <w:r w:rsidRPr="00422E02">
        <w:rPr>
          <w:color w:val="FF0000"/>
        </w:rPr>
        <w:t xml:space="preserve"> </w:t>
      </w:r>
      <w:r w:rsidRPr="00422E02">
        <w:rPr>
          <w:i/>
          <w:color w:val="FF0000"/>
        </w:rPr>
        <w:t>le nom de l</w:t>
      </w:r>
      <w:r w:rsidR="00422E02" w:rsidRPr="00422E02">
        <w:rPr>
          <w:i/>
          <w:color w:val="FF0000"/>
        </w:rPr>
        <w:t>’</w:t>
      </w:r>
      <w:r w:rsidRPr="00422E02">
        <w:rPr>
          <w:i/>
          <w:color w:val="FF0000"/>
        </w:rPr>
        <w:t>agence</w:t>
      </w:r>
      <w:r w:rsidRPr="00422E02">
        <w:t xml:space="preserve"> facilitera une évaluation participative locale pour chaque micro-projet soutenu par les fonds de </w:t>
      </w:r>
      <w:r w:rsidRPr="00422E02">
        <w:rPr>
          <w:i/>
          <w:color w:val="FF0000"/>
        </w:rPr>
        <w:t>insérez le nom du donateur</w:t>
      </w:r>
      <w:r w:rsidRPr="00422E02">
        <w:t>. La méthodologie d</w:t>
      </w:r>
      <w:r w:rsidR="00422E02" w:rsidRPr="00422E02">
        <w:t>’</w:t>
      </w:r>
      <w:r w:rsidRPr="00422E02">
        <w:t xml:space="preserve">évaluation participative est conçue pour approfondir les enseignements tirés et aider toutes les parties prenantes (OBC ou GE chargé de la mise en œuvre, communautés ciblées et </w:t>
      </w:r>
      <w:r w:rsidR="00B14D63" w:rsidRPr="00422E02">
        <w:t>collectivité</w:t>
      </w:r>
      <w:r w:rsidRPr="00422E02">
        <w:t xml:space="preserve"> locale concernée) à réfléchir à ce qui a fonctionné comme prévu, ce qui n</w:t>
      </w:r>
      <w:r w:rsidR="00422E02" w:rsidRPr="00422E02">
        <w:t>’</w:t>
      </w:r>
      <w:r w:rsidRPr="00422E02">
        <w:t>a pas fonctionné et ce qu</w:t>
      </w:r>
      <w:r w:rsidR="00422E02" w:rsidRPr="00422E02">
        <w:t>’</w:t>
      </w:r>
      <w:r w:rsidRPr="00422E02">
        <w:t>elles feront différemment la prochaine fois pour éviter tout échec et bâtir sur les succès.</w:t>
      </w:r>
      <w:r w:rsidRPr="00422E02">
        <w:br/>
        <w:t>En fonction du calendrier, des capacités, de la qualité des propositions et du budget, les groupes qui ont obtenu de bons résultats et qui demandent un soutien pour des micro-projets du deuxième cycle seront invités à présenter une nouvelle demande lorsque des fonds seront disponibles, en utilisant le même format de proposition et les mêmes lignes directrices.</w:t>
      </w:r>
    </w:p>
    <w:p w:rsidR="00B16254" w:rsidRPr="00422E02" w:rsidRDefault="00B16254" w:rsidP="00EB0875">
      <w:pPr>
        <w:jc w:val="both"/>
      </w:pPr>
    </w:p>
    <w:p w:rsidR="00B16254" w:rsidRPr="00422E02" w:rsidRDefault="00EE06AE" w:rsidP="00EB0875">
      <w:pPr>
        <w:spacing w:line="240" w:lineRule="auto"/>
        <w:jc w:val="both"/>
        <w:rPr>
          <w:b/>
          <w:color w:val="000000" w:themeColor="text1"/>
          <w:u w:val="single"/>
        </w:rPr>
      </w:pPr>
      <w:r w:rsidRPr="003D3BAD">
        <w:rPr>
          <w:b/>
          <w:color w:val="000000" w:themeColor="text1"/>
        </w:rPr>
        <w:t>4</w:t>
      </w:r>
      <w:r w:rsidR="003D3BAD">
        <w:rPr>
          <w:b/>
          <w:color w:val="000000" w:themeColor="text1"/>
        </w:rPr>
        <w:t>.</w:t>
      </w:r>
      <w:r w:rsidRPr="003D3BAD">
        <w:rPr>
          <w:b/>
          <w:color w:val="000000" w:themeColor="text1"/>
        </w:rPr>
        <w:t xml:space="preserve"> </w:t>
      </w:r>
      <w:r w:rsidRPr="00422E02">
        <w:rPr>
          <w:b/>
          <w:color w:val="000000" w:themeColor="text1"/>
          <w:u w:val="single"/>
        </w:rPr>
        <w:t>GESTION ET ORGANISATION DU PROJET</w:t>
      </w:r>
    </w:p>
    <w:p w:rsidR="00B16254" w:rsidRPr="00422E02" w:rsidRDefault="00B16254" w:rsidP="00EB0875">
      <w:pPr>
        <w:ind w:left="720"/>
        <w:jc w:val="both"/>
      </w:pPr>
    </w:p>
    <w:p w:rsidR="00B16254" w:rsidRPr="00422E02" w:rsidRDefault="003D3BAD" w:rsidP="00EB0875">
      <w:pPr>
        <w:jc w:val="both"/>
      </w:pPr>
      <w:r>
        <w:rPr>
          <w:i/>
          <w:color w:val="FF0000"/>
        </w:rPr>
        <w:t>I</w:t>
      </w:r>
      <w:r w:rsidR="00EE06AE" w:rsidRPr="00422E02">
        <w:rPr>
          <w:i/>
          <w:color w:val="FF0000"/>
        </w:rPr>
        <w:t>nsérez</w:t>
      </w:r>
      <w:r w:rsidR="00EE06AE" w:rsidRPr="00422E02">
        <w:rPr>
          <w:color w:val="FF0000"/>
        </w:rPr>
        <w:t xml:space="preserve"> </w:t>
      </w:r>
      <w:r w:rsidR="00EE06AE" w:rsidRPr="00422E02">
        <w:rPr>
          <w:i/>
          <w:color w:val="FF0000"/>
        </w:rPr>
        <w:t>le nom de l</w:t>
      </w:r>
      <w:r w:rsidR="00422E02" w:rsidRPr="00422E02">
        <w:rPr>
          <w:i/>
          <w:color w:val="FF0000"/>
        </w:rPr>
        <w:t>’</w:t>
      </w:r>
      <w:r w:rsidR="00EE06AE" w:rsidRPr="00422E02">
        <w:rPr>
          <w:i/>
          <w:color w:val="FF0000"/>
        </w:rPr>
        <w:t xml:space="preserve">agence et le poste du dirigeant (directeur, responsable de programme, coordinateur, etc.) </w:t>
      </w:r>
      <w:r w:rsidR="00EE06AE" w:rsidRPr="00422E02">
        <w:t>superviseront directement la mise en œuvre du projet. Compte tenu de l</w:t>
      </w:r>
      <w:r w:rsidR="00422E02" w:rsidRPr="00422E02">
        <w:t>’</w:t>
      </w:r>
      <w:r w:rsidR="00EE06AE" w:rsidRPr="00422E02">
        <w:t>approche adoptée par le projet, on s</w:t>
      </w:r>
      <w:r w:rsidR="00422E02" w:rsidRPr="00422E02">
        <w:t>’</w:t>
      </w:r>
      <w:r w:rsidR="00EE06AE" w:rsidRPr="00422E02">
        <w:t>attend à ce que davantage de responsabilités soient transférées à la communauté, y compris la planification, l</w:t>
      </w:r>
      <w:r w:rsidR="00422E02" w:rsidRPr="00422E02">
        <w:t>’</w:t>
      </w:r>
      <w:r w:rsidR="00EE06AE" w:rsidRPr="00422E02">
        <w:t xml:space="preserve">achat et la distribution des biens ; les équipes de projet serviront principalement à faciliter et à suivre la mise en œuvre du projet et à fournir une assistance technique selon les besoins des communautés, notamment pour la préparation des rapports pour </w:t>
      </w:r>
      <w:r w:rsidR="00EE06AE" w:rsidRPr="00422E02">
        <w:rPr>
          <w:i/>
          <w:color w:val="FF0000"/>
        </w:rPr>
        <w:t>insérez</w:t>
      </w:r>
      <w:r w:rsidR="00EE06AE" w:rsidRPr="00422E02">
        <w:rPr>
          <w:color w:val="FF0000"/>
        </w:rPr>
        <w:t xml:space="preserve"> </w:t>
      </w:r>
      <w:r w:rsidR="00EE06AE" w:rsidRPr="00422E02">
        <w:rPr>
          <w:i/>
          <w:color w:val="FF0000"/>
        </w:rPr>
        <w:t>le nom du donateur</w:t>
      </w:r>
      <w:r w:rsidR="00EE06AE" w:rsidRPr="00422E02">
        <w:t xml:space="preserve"> par l</w:t>
      </w:r>
      <w:r w:rsidR="00422E02" w:rsidRPr="00422E02">
        <w:t>’</w:t>
      </w:r>
      <w:r w:rsidR="00EE06AE" w:rsidRPr="00422E02">
        <w:t xml:space="preserve">intermédiaire de  </w:t>
      </w:r>
      <w:r w:rsidR="00EE06AE" w:rsidRPr="00422E02">
        <w:rPr>
          <w:i/>
          <w:color w:val="FF0000"/>
        </w:rPr>
        <w:t>insérez</w:t>
      </w:r>
      <w:r w:rsidR="00EE06AE" w:rsidRPr="00422E02">
        <w:rPr>
          <w:color w:val="FF0000"/>
        </w:rPr>
        <w:t xml:space="preserve"> </w:t>
      </w:r>
      <w:r w:rsidR="00EE06AE" w:rsidRPr="00422E02">
        <w:rPr>
          <w:i/>
          <w:color w:val="FF0000"/>
        </w:rPr>
        <w:t>le nom de l</w:t>
      </w:r>
      <w:r w:rsidR="00422E02" w:rsidRPr="00422E02">
        <w:rPr>
          <w:i/>
          <w:color w:val="FF0000"/>
        </w:rPr>
        <w:t>’</w:t>
      </w:r>
      <w:r w:rsidR="00EE06AE" w:rsidRPr="00422E02">
        <w:rPr>
          <w:i/>
          <w:color w:val="FF0000"/>
        </w:rPr>
        <w:t>agence</w:t>
      </w:r>
      <w:r w:rsidR="00EE06AE" w:rsidRPr="00422E02">
        <w:t>.</w:t>
      </w:r>
    </w:p>
    <w:p w:rsidR="00B16254" w:rsidRPr="00422E02" w:rsidRDefault="00B16254" w:rsidP="00EB0875">
      <w:pPr>
        <w:jc w:val="both"/>
      </w:pPr>
    </w:p>
    <w:p w:rsidR="00B16254" w:rsidRPr="00422E02" w:rsidRDefault="00EE06AE" w:rsidP="00EB0875">
      <w:pPr>
        <w:jc w:val="both"/>
        <w:rPr>
          <w:i/>
          <w:color w:val="7030A0"/>
        </w:rPr>
      </w:pPr>
      <w:r w:rsidRPr="00422E02">
        <w:rPr>
          <w:i/>
          <w:color w:val="7030A0"/>
        </w:rPr>
        <w:t>Conseil : fournissez plus d</w:t>
      </w:r>
      <w:r w:rsidR="00422E02" w:rsidRPr="00422E02">
        <w:rPr>
          <w:i/>
          <w:color w:val="7030A0"/>
        </w:rPr>
        <w:t>’</w:t>
      </w:r>
      <w:r w:rsidRPr="00422E02">
        <w:rPr>
          <w:i/>
          <w:color w:val="7030A0"/>
        </w:rPr>
        <w:t>informations en fonction de la gestion particulière de l</w:t>
      </w:r>
      <w:r w:rsidR="00422E02" w:rsidRPr="00422E02">
        <w:rPr>
          <w:i/>
          <w:color w:val="7030A0"/>
        </w:rPr>
        <w:t>’</w:t>
      </w:r>
      <w:r w:rsidRPr="00422E02">
        <w:rPr>
          <w:i/>
          <w:color w:val="7030A0"/>
        </w:rPr>
        <w:t>organisation que vous suivez, du personnel affecté, du soutien que vous fournissez. Suivi, facilitation, etc., en somme, tout ce qui met le donateur à l</w:t>
      </w:r>
      <w:r w:rsidR="00422E02" w:rsidRPr="00422E02">
        <w:rPr>
          <w:i/>
          <w:color w:val="7030A0"/>
        </w:rPr>
        <w:t>’</w:t>
      </w:r>
      <w:r w:rsidRPr="00422E02">
        <w:rPr>
          <w:i/>
          <w:color w:val="7030A0"/>
        </w:rPr>
        <w:t>aise et fournit une explication convaincante du niveau de soutien fourni, etc.</w:t>
      </w:r>
    </w:p>
    <w:p w:rsidR="00B16254" w:rsidRPr="00422E02" w:rsidRDefault="00B16254" w:rsidP="00EB0875">
      <w:pPr>
        <w:jc w:val="both"/>
        <w:rPr>
          <w:i/>
          <w:color w:val="7030A0"/>
        </w:rPr>
      </w:pPr>
    </w:p>
    <w:p w:rsidR="00B16254" w:rsidRPr="00422E02" w:rsidRDefault="00EE06AE" w:rsidP="00EB0875">
      <w:pPr>
        <w:jc w:val="both"/>
      </w:pPr>
      <w:r w:rsidRPr="00422E02">
        <w:rPr>
          <w:i/>
          <w:color w:val="7030A0"/>
        </w:rPr>
        <w:t>Conseil : n</w:t>
      </w:r>
      <w:r w:rsidR="00422E02" w:rsidRPr="00422E02">
        <w:rPr>
          <w:i/>
          <w:color w:val="7030A0"/>
        </w:rPr>
        <w:t>’</w:t>
      </w:r>
      <w:r w:rsidRPr="00422E02">
        <w:rPr>
          <w:i/>
          <w:color w:val="7030A0"/>
        </w:rPr>
        <w:t>oubliez pas que le donateur est probablement toujours déterminé à conserver le contrôle externe de la responsabilité ascendante et qu</w:t>
      </w:r>
      <w:r w:rsidR="00422E02" w:rsidRPr="00422E02">
        <w:rPr>
          <w:i/>
          <w:color w:val="7030A0"/>
        </w:rPr>
        <w:t>’</w:t>
      </w:r>
      <w:r w:rsidRPr="00422E02">
        <w:rPr>
          <w:i/>
          <w:color w:val="7030A0"/>
        </w:rPr>
        <w:t>il doit donc se sentir confiant que, même si la réponse SCLR  « lâche prise » et cède le pouvoir aux groupes locaux, il dispose toujours d</w:t>
      </w:r>
      <w:r w:rsidR="00422E02" w:rsidRPr="00422E02">
        <w:rPr>
          <w:i/>
          <w:color w:val="7030A0"/>
        </w:rPr>
        <w:t>’</w:t>
      </w:r>
      <w:r w:rsidRPr="00422E02">
        <w:rPr>
          <w:i/>
          <w:color w:val="7030A0"/>
        </w:rPr>
        <w:t>un soutien et d</w:t>
      </w:r>
      <w:r w:rsidR="00422E02" w:rsidRPr="00422E02">
        <w:rPr>
          <w:i/>
          <w:color w:val="7030A0"/>
        </w:rPr>
        <w:t>’</w:t>
      </w:r>
      <w:r w:rsidRPr="00422E02">
        <w:rPr>
          <w:i/>
          <w:color w:val="7030A0"/>
        </w:rPr>
        <w:t>un suivi suffisants. Vous devez mettre le donateur à l</w:t>
      </w:r>
      <w:r w:rsidR="00422E02" w:rsidRPr="00422E02">
        <w:rPr>
          <w:i/>
          <w:color w:val="7030A0"/>
        </w:rPr>
        <w:t>’</w:t>
      </w:r>
      <w:r w:rsidRPr="00422E02">
        <w:rPr>
          <w:i/>
          <w:color w:val="7030A0"/>
        </w:rPr>
        <w:t>aise pour sa « toute première expérience  ». Incluez donc suffisamment de détails sur le personnel dont vous disposez sur le terrain, le suivi et l</w:t>
      </w:r>
      <w:r w:rsidR="00422E02" w:rsidRPr="00422E02">
        <w:rPr>
          <w:i/>
          <w:color w:val="7030A0"/>
        </w:rPr>
        <w:t>’</w:t>
      </w:r>
      <w:r w:rsidRPr="00422E02">
        <w:rPr>
          <w:i/>
          <w:color w:val="7030A0"/>
        </w:rPr>
        <w:t>accompagnement, etc.</w:t>
      </w:r>
    </w:p>
    <w:p w:rsidR="00B16254" w:rsidRPr="00422E02" w:rsidRDefault="00B16254" w:rsidP="00EB0875">
      <w:pPr>
        <w:pStyle w:val="ListParagraph"/>
        <w:numPr>
          <w:ilvl w:val="1"/>
          <w:numId w:val="1"/>
        </w:numPr>
        <w:spacing w:line="240" w:lineRule="auto"/>
        <w:ind w:left="360"/>
        <w:jc w:val="both"/>
        <w:rPr>
          <w:b/>
          <w:u w:val="single"/>
        </w:rPr>
        <w:sectPr w:rsidR="00B16254" w:rsidRPr="00422E02" w:rsidSect="00C6513E">
          <w:pgSz w:w="11906" w:h="16838"/>
          <w:pgMar w:top="990" w:right="926" w:bottom="810" w:left="990" w:header="708" w:footer="708" w:gutter="0"/>
          <w:cols w:space="708"/>
        </w:sectPr>
      </w:pPr>
    </w:p>
    <w:p w:rsidR="00B16254" w:rsidRPr="00422E02" w:rsidRDefault="00EE06AE" w:rsidP="00EB0875">
      <w:pPr>
        <w:pStyle w:val="ListParagraph"/>
        <w:numPr>
          <w:ilvl w:val="1"/>
          <w:numId w:val="1"/>
        </w:numPr>
        <w:spacing w:line="240" w:lineRule="auto"/>
        <w:ind w:left="360"/>
        <w:jc w:val="both"/>
        <w:rPr>
          <w:b/>
          <w:u w:val="single"/>
        </w:rPr>
      </w:pPr>
      <w:r w:rsidRPr="00422E02">
        <w:rPr>
          <w:b/>
          <w:u w:val="single"/>
        </w:rPr>
        <w:lastRenderedPageBreak/>
        <w:t>DEMANDE DE FINANCEMENT</w:t>
      </w:r>
    </w:p>
    <w:p w:rsidR="00B16254" w:rsidRPr="00422E02" w:rsidRDefault="00EE06AE" w:rsidP="00EB0875">
      <w:pPr>
        <w:spacing w:line="240" w:lineRule="auto"/>
        <w:ind w:left="360"/>
        <w:jc w:val="both"/>
        <w:rPr>
          <w:i/>
          <w:color w:val="7030A0"/>
        </w:rPr>
      </w:pPr>
      <w:r w:rsidRPr="00422E02">
        <w:rPr>
          <w:i/>
          <w:color w:val="7030A0"/>
        </w:rPr>
        <w:t>Conseil : ce budget n</w:t>
      </w:r>
      <w:r w:rsidR="00422E02" w:rsidRPr="00422E02">
        <w:rPr>
          <w:i/>
          <w:color w:val="7030A0"/>
        </w:rPr>
        <w:t>’</w:t>
      </w:r>
      <w:r w:rsidRPr="00422E02">
        <w:rPr>
          <w:i/>
          <w:color w:val="7030A0"/>
        </w:rPr>
        <w:t>est inclus qu</w:t>
      </w:r>
      <w:r w:rsidR="00422E02" w:rsidRPr="00422E02">
        <w:rPr>
          <w:i/>
          <w:color w:val="7030A0"/>
        </w:rPr>
        <w:t>’</w:t>
      </w:r>
      <w:r w:rsidRPr="00422E02">
        <w:rPr>
          <w:i/>
          <w:color w:val="7030A0"/>
        </w:rPr>
        <w:t>à titre d</w:t>
      </w:r>
      <w:r w:rsidR="00422E02" w:rsidRPr="00422E02">
        <w:rPr>
          <w:i/>
          <w:color w:val="7030A0"/>
        </w:rPr>
        <w:t>’</w:t>
      </w:r>
      <w:r w:rsidRPr="00422E02">
        <w:rPr>
          <w:i/>
          <w:color w:val="7030A0"/>
        </w:rPr>
        <w:t>exemple de ce que vous pourriez développer. Tous les chiffres, les montants et les détails que vous développerez seront différents, mais cet exemple de budget peut être utilisé pour guider votre réflexion.</w:t>
      </w:r>
    </w:p>
    <w:p w:rsidR="00B16254" w:rsidRPr="00422E02" w:rsidRDefault="00EE06AE" w:rsidP="00EB0875">
      <w:pPr>
        <w:spacing w:line="240" w:lineRule="auto"/>
        <w:ind w:left="360"/>
        <w:jc w:val="both"/>
      </w:pPr>
      <w:r w:rsidRPr="00422E02">
        <w:t>Veuillez consulter le budget ci-dessous :</w:t>
      </w:r>
      <w:r w:rsidRPr="00422E02">
        <w:rPr>
          <w:b/>
          <w:color w:val="000000"/>
          <w:sz w:val="18"/>
        </w:rPr>
        <w:t xml:space="preserve"> </w:t>
      </w:r>
    </w:p>
    <w:p w:rsidR="00B16254" w:rsidRPr="00422E02" w:rsidRDefault="00B16254" w:rsidP="00EB0875">
      <w:pPr>
        <w:spacing w:line="240" w:lineRule="auto"/>
        <w:ind w:left="360"/>
        <w:jc w:val="both"/>
      </w:pPr>
    </w:p>
    <w:tbl>
      <w:tblPr>
        <w:tblW w:w="15115" w:type="dxa"/>
        <w:tblLayout w:type="fixed"/>
        <w:tblLook w:val="04A0"/>
      </w:tblPr>
      <w:tblGrid>
        <w:gridCol w:w="2335"/>
        <w:gridCol w:w="720"/>
        <w:gridCol w:w="1578"/>
        <w:gridCol w:w="1122"/>
        <w:gridCol w:w="1663"/>
        <w:gridCol w:w="540"/>
        <w:gridCol w:w="943"/>
        <w:gridCol w:w="1753"/>
        <w:gridCol w:w="2841"/>
        <w:gridCol w:w="1620"/>
      </w:tblGrid>
      <w:tr w:rsidR="00B16254" w:rsidRPr="00422E02" w:rsidTr="001F0D55">
        <w:trPr>
          <w:trHeight w:val="510"/>
        </w:trPr>
        <w:tc>
          <w:tcPr>
            <w:tcW w:w="2335" w:type="dxa"/>
            <w:tcBorders>
              <w:top w:val="single" w:sz="4" w:space="0" w:color="auto"/>
              <w:left w:val="single" w:sz="4" w:space="0" w:color="auto"/>
              <w:bottom w:val="single" w:sz="4" w:space="0" w:color="auto"/>
              <w:right w:val="single" w:sz="4" w:space="0" w:color="auto"/>
            </w:tcBorders>
            <w:shd w:val="clear" w:color="auto" w:fill="auto"/>
          </w:tcPr>
          <w:p w:rsidR="00B16254" w:rsidRPr="00422E02" w:rsidRDefault="00EE06AE" w:rsidP="00EB0875">
            <w:pPr>
              <w:spacing w:line="240" w:lineRule="auto"/>
              <w:jc w:val="both"/>
              <w:rPr>
                <w:b/>
                <w:color w:val="000000"/>
                <w:sz w:val="18"/>
              </w:rPr>
            </w:pPr>
            <w:r w:rsidRPr="00422E02">
              <w:rPr>
                <w:b/>
                <w:color w:val="000000"/>
                <w:sz w:val="18"/>
              </w:rPr>
              <w:t>Apports</w:t>
            </w:r>
          </w:p>
        </w:tc>
        <w:tc>
          <w:tcPr>
            <w:tcW w:w="720" w:type="dxa"/>
            <w:tcBorders>
              <w:top w:val="single" w:sz="4" w:space="0" w:color="auto"/>
              <w:left w:val="nil"/>
              <w:bottom w:val="single" w:sz="4" w:space="0" w:color="auto"/>
              <w:right w:val="single" w:sz="4" w:space="0" w:color="auto"/>
            </w:tcBorders>
            <w:shd w:val="clear" w:color="auto" w:fill="auto"/>
          </w:tcPr>
          <w:p w:rsidR="00B16254" w:rsidRPr="00422E02" w:rsidRDefault="00EE06AE" w:rsidP="00EB0875">
            <w:pPr>
              <w:spacing w:line="240" w:lineRule="auto"/>
              <w:jc w:val="both"/>
              <w:rPr>
                <w:b/>
                <w:color w:val="000000"/>
                <w:sz w:val="18"/>
              </w:rPr>
            </w:pPr>
            <w:r w:rsidRPr="00422E02">
              <w:rPr>
                <w:b/>
                <w:color w:val="000000"/>
                <w:sz w:val="18"/>
              </w:rPr>
              <w:t>Qté</w:t>
            </w:r>
          </w:p>
        </w:tc>
        <w:tc>
          <w:tcPr>
            <w:tcW w:w="1578" w:type="dxa"/>
            <w:tcBorders>
              <w:top w:val="single" w:sz="4" w:space="0" w:color="auto"/>
              <w:left w:val="nil"/>
              <w:bottom w:val="single" w:sz="4" w:space="0" w:color="auto"/>
              <w:right w:val="single" w:sz="4" w:space="0" w:color="auto"/>
            </w:tcBorders>
            <w:shd w:val="clear" w:color="auto" w:fill="auto"/>
          </w:tcPr>
          <w:p w:rsidR="00B16254" w:rsidRPr="00422E02" w:rsidRDefault="00EE06AE" w:rsidP="00EB0875">
            <w:pPr>
              <w:spacing w:line="240" w:lineRule="auto"/>
              <w:jc w:val="both"/>
              <w:rPr>
                <w:b/>
                <w:color w:val="000000"/>
                <w:sz w:val="18"/>
              </w:rPr>
            </w:pPr>
            <w:r w:rsidRPr="00422E02">
              <w:rPr>
                <w:b/>
                <w:color w:val="000000"/>
                <w:sz w:val="18"/>
              </w:rPr>
              <w:t>Unité</w:t>
            </w:r>
          </w:p>
        </w:tc>
        <w:tc>
          <w:tcPr>
            <w:tcW w:w="1122" w:type="dxa"/>
            <w:tcBorders>
              <w:top w:val="single" w:sz="4" w:space="0" w:color="auto"/>
              <w:left w:val="nil"/>
              <w:bottom w:val="single" w:sz="4" w:space="0" w:color="auto"/>
              <w:right w:val="single" w:sz="4" w:space="0" w:color="auto"/>
            </w:tcBorders>
          </w:tcPr>
          <w:p w:rsidR="00B16254" w:rsidRPr="00422E02" w:rsidRDefault="00EE06AE" w:rsidP="00EB0875">
            <w:pPr>
              <w:spacing w:line="240" w:lineRule="auto"/>
              <w:jc w:val="both"/>
              <w:rPr>
                <w:b/>
                <w:color w:val="000000"/>
                <w:sz w:val="18"/>
              </w:rPr>
            </w:pPr>
            <w:r w:rsidRPr="00422E02">
              <w:rPr>
                <w:b/>
                <w:color w:val="000000"/>
                <w:sz w:val="18"/>
              </w:rPr>
              <w:t>Prix unitaire (pesos)</w:t>
            </w:r>
          </w:p>
        </w:tc>
        <w:tc>
          <w:tcPr>
            <w:tcW w:w="1663" w:type="dxa"/>
            <w:tcBorders>
              <w:top w:val="single" w:sz="4" w:space="0" w:color="auto"/>
              <w:left w:val="single" w:sz="4" w:space="0" w:color="auto"/>
              <w:bottom w:val="single" w:sz="4" w:space="0" w:color="auto"/>
              <w:right w:val="single" w:sz="4" w:space="0" w:color="auto"/>
            </w:tcBorders>
          </w:tcPr>
          <w:p w:rsidR="00B16254" w:rsidRPr="00422E02" w:rsidRDefault="00EE06AE" w:rsidP="00EB0875">
            <w:pPr>
              <w:spacing w:line="240" w:lineRule="auto"/>
              <w:jc w:val="both"/>
              <w:rPr>
                <w:b/>
                <w:color w:val="000000"/>
                <w:sz w:val="18"/>
              </w:rPr>
            </w:pPr>
            <w:r w:rsidRPr="00422E02">
              <w:rPr>
                <w:b/>
                <w:color w:val="000000"/>
                <w:sz w:val="18"/>
              </w:rPr>
              <w:t xml:space="preserve">Notes budgétaires </w:t>
            </w:r>
          </w:p>
        </w:tc>
        <w:tc>
          <w:tcPr>
            <w:tcW w:w="1483" w:type="dxa"/>
            <w:gridSpan w:val="2"/>
            <w:tcBorders>
              <w:top w:val="single" w:sz="4" w:space="0" w:color="auto"/>
              <w:left w:val="nil"/>
              <w:bottom w:val="single" w:sz="4" w:space="0" w:color="auto"/>
              <w:right w:val="single" w:sz="4" w:space="0" w:color="auto"/>
            </w:tcBorders>
            <w:shd w:val="clear" w:color="auto" w:fill="auto"/>
          </w:tcPr>
          <w:p w:rsidR="00B16254" w:rsidRPr="00422E02" w:rsidRDefault="00EE06AE" w:rsidP="00EB0875">
            <w:pPr>
              <w:spacing w:line="240" w:lineRule="auto"/>
              <w:jc w:val="both"/>
              <w:rPr>
                <w:b/>
                <w:color w:val="000000"/>
                <w:sz w:val="18"/>
              </w:rPr>
            </w:pPr>
            <w:r w:rsidRPr="00422E02">
              <w:rPr>
                <w:b/>
                <w:color w:val="000000"/>
                <w:sz w:val="18"/>
              </w:rPr>
              <w:t xml:space="preserve"> Fréquence </w:t>
            </w:r>
          </w:p>
        </w:tc>
        <w:tc>
          <w:tcPr>
            <w:tcW w:w="1753" w:type="dxa"/>
            <w:tcBorders>
              <w:top w:val="single" w:sz="4" w:space="0" w:color="auto"/>
              <w:left w:val="nil"/>
              <w:bottom w:val="single" w:sz="4" w:space="0" w:color="auto"/>
              <w:right w:val="single" w:sz="4" w:space="0" w:color="auto"/>
            </w:tcBorders>
            <w:shd w:val="clear" w:color="auto" w:fill="auto"/>
          </w:tcPr>
          <w:p w:rsidR="00B16254" w:rsidRPr="00422E02" w:rsidRDefault="00EE06AE" w:rsidP="001F0D55">
            <w:pPr>
              <w:spacing w:line="240" w:lineRule="auto"/>
              <w:rPr>
                <w:b/>
                <w:color w:val="000000"/>
                <w:sz w:val="18"/>
              </w:rPr>
            </w:pPr>
            <w:r w:rsidRPr="00422E02">
              <w:rPr>
                <w:b/>
                <w:color w:val="000000"/>
                <w:sz w:val="18"/>
              </w:rPr>
              <w:t>Budget total demandé au donateur (pesos)</w:t>
            </w:r>
          </w:p>
        </w:tc>
        <w:tc>
          <w:tcPr>
            <w:tcW w:w="2841" w:type="dxa"/>
            <w:tcBorders>
              <w:top w:val="single" w:sz="4" w:space="0" w:color="auto"/>
              <w:left w:val="nil"/>
              <w:bottom w:val="single" w:sz="4" w:space="0" w:color="auto"/>
              <w:right w:val="single" w:sz="4" w:space="0" w:color="auto"/>
            </w:tcBorders>
          </w:tcPr>
          <w:p w:rsidR="00B16254" w:rsidRPr="00422E02" w:rsidRDefault="00EE06AE" w:rsidP="00EB0875">
            <w:pPr>
              <w:spacing w:line="240" w:lineRule="auto"/>
              <w:jc w:val="both"/>
              <w:rPr>
                <w:b/>
                <w:color w:val="000000"/>
                <w:sz w:val="18"/>
              </w:rPr>
            </w:pPr>
            <w:r w:rsidRPr="00422E02">
              <w:rPr>
                <w:b/>
                <w:color w:val="000000"/>
                <w:sz w:val="18"/>
              </w:rPr>
              <w:t>Estimation de la contribution moyenne de la communauté locale (coût équivalent au coût des apports en nature et en main-d</w:t>
            </w:r>
            <w:r w:rsidR="00422E02" w:rsidRPr="00422E02">
              <w:rPr>
                <w:b/>
                <w:color w:val="000000"/>
                <w:sz w:val="18"/>
              </w:rPr>
              <w:t>’</w:t>
            </w:r>
            <w:r w:rsidRPr="00422E02">
              <w:rPr>
                <w:b/>
                <w:color w:val="000000"/>
                <w:sz w:val="18"/>
              </w:rPr>
              <w:t>œuvre)</w:t>
            </w:r>
          </w:p>
        </w:tc>
        <w:tc>
          <w:tcPr>
            <w:tcW w:w="1620" w:type="dxa"/>
            <w:tcBorders>
              <w:top w:val="single" w:sz="4" w:space="0" w:color="auto"/>
              <w:left w:val="nil"/>
              <w:bottom w:val="single" w:sz="4" w:space="0" w:color="auto"/>
              <w:right w:val="single" w:sz="4" w:space="0" w:color="auto"/>
            </w:tcBorders>
          </w:tcPr>
          <w:p w:rsidR="00B16254" w:rsidRPr="00422E02" w:rsidRDefault="00EE06AE" w:rsidP="001F0D55">
            <w:pPr>
              <w:spacing w:line="240" w:lineRule="auto"/>
              <w:rPr>
                <w:b/>
                <w:color w:val="000000"/>
                <w:sz w:val="18"/>
              </w:rPr>
            </w:pPr>
            <w:r w:rsidRPr="00422E02">
              <w:rPr>
                <w:b/>
                <w:color w:val="000000"/>
                <w:sz w:val="18"/>
              </w:rPr>
              <w:t xml:space="preserve">TOTAL (donneur et communauté) </w:t>
            </w:r>
          </w:p>
        </w:tc>
      </w:tr>
      <w:tr w:rsidR="00B16254" w:rsidRPr="00422E02" w:rsidTr="001F0D55">
        <w:trPr>
          <w:trHeight w:val="1197"/>
        </w:trPr>
        <w:tc>
          <w:tcPr>
            <w:tcW w:w="2335" w:type="dxa"/>
            <w:tcBorders>
              <w:top w:val="nil"/>
              <w:left w:val="single" w:sz="4" w:space="0" w:color="auto"/>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1. Coût de </w:t>
            </w:r>
            <w:r w:rsidRPr="00422E02">
              <w:rPr>
                <w:color w:val="FF0000"/>
                <w:sz w:val="18"/>
              </w:rPr>
              <w:t>3 </w:t>
            </w:r>
            <w:r w:rsidRPr="00422E02">
              <w:rPr>
                <w:color w:val="000000"/>
                <w:sz w:val="18"/>
              </w:rPr>
              <w:t>animateurs de projet formés à temps plein sur le terrain pour faciliter l</w:t>
            </w:r>
            <w:r w:rsidR="00422E02" w:rsidRPr="00422E02">
              <w:rPr>
                <w:color w:val="000000"/>
                <w:sz w:val="18"/>
              </w:rPr>
              <w:t>’</w:t>
            </w:r>
            <w:r w:rsidRPr="00422E02">
              <w:rPr>
                <w:color w:val="000000"/>
                <w:sz w:val="18"/>
              </w:rPr>
              <w:t xml:space="preserve">ensemble du projet  </w:t>
            </w:r>
            <w:r w:rsidRPr="00422E02">
              <w:t xml:space="preserve"> </w:t>
            </w:r>
          </w:p>
        </w:tc>
        <w:tc>
          <w:tcPr>
            <w:tcW w:w="72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 xml:space="preserve">    3</w:t>
            </w:r>
          </w:p>
        </w:tc>
        <w:tc>
          <w:tcPr>
            <w:tcW w:w="1578"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Total des coûts mensuels (salaire, plus toutes les dépenses)</w:t>
            </w:r>
          </w:p>
        </w:tc>
        <w:tc>
          <w:tcPr>
            <w:tcW w:w="1122" w:type="dxa"/>
            <w:tcBorders>
              <w:top w:val="single" w:sz="4" w:space="0" w:color="auto"/>
              <w:left w:val="nil"/>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 xml:space="preserve"> </w:t>
            </w:r>
          </w:p>
          <w:p w:rsidR="00B16254" w:rsidRPr="00422E02" w:rsidRDefault="00EE06AE" w:rsidP="001F0D55">
            <w:pPr>
              <w:spacing w:line="240" w:lineRule="auto"/>
              <w:rPr>
                <w:color w:val="FF0000"/>
                <w:sz w:val="18"/>
              </w:rPr>
            </w:pPr>
            <w:r w:rsidRPr="00422E02">
              <w:rPr>
                <w:color w:val="FF0000"/>
                <w:sz w:val="18"/>
              </w:rPr>
              <w:t xml:space="preserve">30 000 </w:t>
            </w:r>
          </w:p>
        </w:tc>
        <w:tc>
          <w:tcPr>
            <w:tcW w:w="1663" w:type="dxa"/>
            <w:tcBorders>
              <w:top w:val="single" w:sz="4" w:space="0" w:color="auto"/>
              <w:left w:val="single" w:sz="4" w:space="0" w:color="auto"/>
              <w:bottom w:val="single" w:sz="4" w:space="0" w:color="auto"/>
              <w:right w:val="single" w:sz="4" w:space="0" w:color="auto"/>
            </w:tcBorders>
          </w:tcPr>
          <w:p w:rsidR="00B16254" w:rsidRPr="00422E02" w:rsidRDefault="00B16254" w:rsidP="001F0D55">
            <w:pPr>
              <w:spacing w:line="240" w:lineRule="auto"/>
              <w:rPr>
                <w:color w:val="FF0000"/>
                <w:sz w:val="18"/>
              </w:rPr>
            </w:pPr>
          </w:p>
        </w:tc>
        <w:tc>
          <w:tcPr>
            <w:tcW w:w="54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3</w:t>
            </w:r>
          </w:p>
        </w:tc>
        <w:tc>
          <w:tcPr>
            <w:tcW w:w="943"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 xml:space="preserve"> mois  </w:t>
            </w:r>
          </w:p>
        </w:tc>
        <w:tc>
          <w:tcPr>
            <w:tcW w:w="1753"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 xml:space="preserve">     </w:t>
            </w:r>
          </w:p>
          <w:p w:rsidR="00B16254" w:rsidRPr="00422E02" w:rsidRDefault="00EE06AE" w:rsidP="001F0D55">
            <w:pPr>
              <w:spacing w:line="240" w:lineRule="auto"/>
              <w:rPr>
                <w:color w:val="FF0000"/>
                <w:sz w:val="18"/>
              </w:rPr>
            </w:pPr>
            <w:r w:rsidRPr="00422E02">
              <w:rPr>
                <w:color w:val="FF0000"/>
                <w:sz w:val="18"/>
              </w:rPr>
              <w:t xml:space="preserve">270 000 </w:t>
            </w:r>
          </w:p>
        </w:tc>
        <w:tc>
          <w:tcPr>
            <w:tcW w:w="2841" w:type="dxa"/>
            <w:tcBorders>
              <w:top w:val="single" w:sz="4" w:space="0" w:color="auto"/>
              <w:left w:val="nil"/>
              <w:bottom w:val="single" w:sz="4" w:space="0" w:color="auto"/>
              <w:right w:val="single" w:sz="4" w:space="0" w:color="auto"/>
            </w:tcBorders>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6 000</w:t>
            </w:r>
          </w:p>
          <w:p w:rsidR="00B16254" w:rsidRPr="00422E02" w:rsidRDefault="00EE06AE" w:rsidP="001F0D55">
            <w:pPr>
              <w:spacing w:line="240" w:lineRule="auto"/>
              <w:rPr>
                <w:color w:val="FF0000"/>
                <w:sz w:val="18"/>
              </w:rPr>
            </w:pPr>
            <w:r w:rsidRPr="00422E02">
              <w:rPr>
                <w:color w:val="FF0000"/>
                <w:sz w:val="18"/>
              </w:rPr>
              <w:t>pour l</w:t>
            </w:r>
            <w:r w:rsidR="00422E02" w:rsidRPr="00422E02">
              <w:rPr>
                <w:color w:val="FF0000"/>
                <w:sz w:val="18"/>
              </w:rPr>
              <w:t>’</w:t>
            </w:r>
            <w:r w:rsidRPr="00422E02">
              <w:rPr>
                <w:color w:val="FF0000"/>
                <w:sz w:val="18"/>
              </w:rPr>
              <w:t>hébergement local dans les maisons de village (équivalent à 200 pesos par personne et par nuit)</w:t>
            </w:r>
          </w:p>
        </w:tc>
        <w:tc>
          <w:tcPr>
            <w:tcW w:w="1620" w:type="dxa"/>
            <w:tcBorders>
              <w:top w:val="single" w:sz="4" w:space="0" w:color="auto"/>
              <w:left w:val="nil"/>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 xml:space="preserve">     </w:t>
            </w:r>
          </w:p>
          <w:p w:rsidR="00B16254" w:rsidRPr="00422E02" w:rsidRDefault="00EE06AE" w:rsidP="001F0D55">
            <w:pPr>
              <w:spacing w:line="240" w:lineRule="auto"/>
              <w:rPr>
                <w:color w:val="FF0000"/>
                <w:sz w:val="18"/>
              </w:rPr>
            </w:pPr>
            <w:r w:rsidRPr="00422E02">
              <w:rPr>
                <w:color w:val="FF0000"/>
                <w:sz w:val="18"/>
              </w:rPr>
              <w:t xml:space="preserve">276 000 </w:t>
            </w:r>
          </w:p>
        </w:tc>
      </w:tr>
      <w:tr w:rsidR="00B16254" w:rsidRPr="00422E02" w:rsidTr="001F0D55">
        <w:trPr>
          <w:trHeight w:val="900"/>
        </w:trPr>
        <w:tc>
          <w:tcPr>
            <w:tcW w:w="2335" w:type="dxa"/>
            <w:tcBorders>
              <w:top w:val="nil"/>
              <w:left w:val="single" w:sz="4" w:space="0" w:color="auto"/>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2. Soutien aux bénévoles dans la communauté : matériel et incitations pour les bénévoles du PALC</w:t>
            </w:r>
          </w:p>
          <w:p w:rsidR="00B16254" w:rsidRPr="00422E02" w:rsidRDefault="00B16254" w:rsidP="001F0D55">
            <w:pPr>
              <w:spacing w:line="240" w:lineRule="auto"/>
              <w:rPr>
                <w:color w:val="000000"/>
                <w:sz w:val="18"/>
              </w:rPr>
            </w:pPr>
          </w:p>
        </w:tc>
        <w:tc>
          <w:tcPr>
            <w:tcW w:w="72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18</w:t>
            </w:r>
          </w:p>
        </w:tc>
        <w:tc>
          <w:tcPr>
            <w:tcW w:w="1578"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Personnes</w:t>
            </w:r>
          </w:p>
          <w:p w:rsidR="00B16254" w:rsidRPr="00422E02" w:rsidRDefault="00EE06AE" w:rsidP="001F0D55">
            <w:pPr>
              <w:spacing w:line="240" w:lineRule="auto"/>
              <w:rPr>
                <w:color w:val="000000"/>
                <w:sz w:val="18"/>
              </w:rPr>
            </w:pPr>
            <w:r w:rsidRPr="00422E02">
              <w:rPr>
                <w:color w:val="000000"/>
                <w:sz w:val="18"/>
              </w:rPr>
              <w:t xml:space="preserve">(en supposant </w:t>
            </w:r>
            <w:r w:rsidRPr="00422E02">
              <w:rPr>
                <w:color w:val="FF0000"/>
                <w:sz w:val="18"/>
              </w:rPr>
              <w:t>6</w:t>
            </w:r>
            <w:r w:rsidRPr="00422E02">
              <w:rPr>
                <w:color w:val="000000"/>
                <w:sz w:val="18"/>
              </w:rPr>
              <w:t xml:space="preserve"> personnes dans </w:t>
            </w:r>
            <w:r w:rsidRPr="00422E02">
              <w:rPr>
                <w:color w:val="FF0000"/>
                <w:sz w:val="18"/>
              </w:rPr>
              <w:t>3 </w:t>
            </w:r>
            <w:r w:rsidRPr="00422E02">
              <w:rPr>
                <w:color w:val="000000"/>
                <w:sz w:val="18"/>
              </w:rPr>
              <w:t>villages)</w:t>
            </w:r>
            <w:r w:rsidRPr="00422E02">
              <w:t xml:space="preserve"> </w:t>
            </w:r>
          </w:p>
        </w:tc>
        <w:tc>
          <w:tcPr>
            <w:tcW w:w="1122" w:type="dxa"/>
            <w:tcBorders>
              <w:top w:val="single" w:sz="4" w:space="0" w:color="auto"/>
              <w:left w:val="nil"/>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 xml:space="preserve">    </w:t>
            </w:r>
          </w:p>
          <w:p w:rsidR="00B16254" w:rsidRPr="00422E02" w:rsidRDefault="00EE06AE" w:rsidP="001F0D55">
            <w:pPr>
              <w:spacing w:line="240" w:lineRule="auto"/>
              <w:rPr>
                <w:color w:val="FF0000"/>
                <w:sz w:val="18"/>
              </w:rPr>
            </w:pPr>
            <w:r w:rsidRPr="00422E02">
              <w:rPr>
                <w:color w:val="FF0000"/>
                <w:sz w:val="18"/>
              </w:rPr>
              <w:t xml:space="preserve">2 000 </w:t>
            </w:r>
          </w:p>
        </w:tc>
        <w:tc>
          <w:tcPr>
            <w:tcW w:w="1663" w:type="dxa"/>
            <w:tcBorders>
              <w:top w:val="single" w:sz="4" w:space="0" w:color="auto"/>
              <w:left w:val="single" w:sz="4" w:space="0" w:color="auto"/>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papeterie, nourriture, transport</w:t>
            </w:r>
          </w:p>
          <w:p w:rsidR="00B16254" w:rsidRPr="00422E02" w:rsidRDefault="00EE06AE" w:rsidP="001F0D55">
            <w:pPr>
              <w:spacing w:line="240" w:lineRule="auto"/>
              <w:rPr>
                <w:color w:val="FF0000"/>
                <w:sz w:val="18"/>
              </w:rPr>
            </w:pPr>
            <w:r w:rsidRPr="00422E02">
              <w:rPr>
                <w:color w:val="FF0000"/>
                <w:sz w:val="18"/>
              </w:rPr>
              <w:t>t-shirts, etc.</w:t>
            </w:r>
          </w:p>
        </w:tc>
        <w:tc>
          <w:tcPr>
            <w:tcW w:w="54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2</w:t>
            </w:r>
          </w:p>
        </w:tc>
        <w:tc>
          <w:tcPr>
            <w:tcW w:w="943"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 xml:space="preserve"> mois </w:t>
            </w:r>
          </w:p>
        </w:tc>
        <w:tc>
          <w:tcPr>
            <w:tcW w:w="1753" w:type="dxa"/>
            <w:tcBorders>
              <w:top w:val="nil"/>
              <w:left w:val="nil"/>
              <w:bottom w:val="single" w:sz="4" w:space="0" w:color="auto"/>
              <w:right w:val="single" w:sz="4" w:space="0" w:color="auto"/>
            </w:tcBorders>
            <w:shd w:val="clear" w:color="auto" w:fill="auto"/>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 xml:space="preserve">72 000     </w:t>
            </w:r>
          </w:p>
        </w:tc>
        <w:tc>
          <w:tcPr>
            <w:tcW w:w="2841" w:type="dxa"/>
            <w:tcBorders>
              <w:top w:val="single" w:sz="4" w:space="0" w:color="auto"/>
              <w:left w:val="nil"/>
              <w:bottom w:val="single" w:sz="4" w:space="0" w:color="auto"/>
              <w:right w:val="single" w:sz="4" w:space="0" w:color="auto"/>
            </w:tcBorders>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18 000</w:t>
            </w:r>
          </w:p>
          <w:p w:rsidR="00B16254" w:rsidRPr="00422E02" w:rsidRDefault="00EE06AE" w:rsidP="001F0D55">
            <w:pPr>
              <w:spacing w:line="240" w:lineRule="auto"/>
              <w:rPr>
                <w:color w:val="FF0000"/>
                <w:sz w:val="18"/>
              </w:rPr>
            </w:pPr>
            <w:r w:rsidRPr="00422E02">
              <w:rPr>
                <w:color w:val="FF0000"/>
                <w:sz w:val="18"/>
              </w:rPr>
              <w:t>équivalent à 10 demi-journées de travail par volontaire PALC 100 pesos</w:t>
            </w:r>
          </w:p>
        </w:tc>
        <w:tc>
          <w:tcPr>
            <w:tcW w:w="1620" w:type="dxa"/>
            <w:tcBorders>
              <w:top w:val="single" w:sz="4" w:space="0" w:color="auto"/>
              <w:left w:val="nil"/>
              <w:bottom w:val="single" w:sz="4" w:space="0" w:color="auto"/>
              <w:right w:val="single" w:sz="4" w:space="0" w:color="auto"/>
            </w:tcBorders>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 xml:space="preserve">90 000     </w:t>
            </w:r>
          </w:p>
        </w:tc>
      </w:tr>
      <w:tr w:rsidR="00B16254" w:rsidRPr="00422E02" w:rsidTr="001F0D55">
        <w:trPr>
          <w:trHeight w:val="1170"/>
        </w:trPr>
        <w:tc>
          <w:tcPr>
            <w:tcW w:w="2335" w:type="dxa"/>
            <w:tcBorders>
              <w:top w:val="nil"/>
              <w:left w:val="single" w:sz="4" w:space="0" w:color="auto"/>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3. Microfinancements pour financer les propositions d</w:t>
            </w:r>
            <w:r w:rsidR="00422E02" w:rsidRPr="00422E02">
              <w:rPr>
                <w:color w:val="000000"/>
                <w:sz w:val="18"/>
              </w:rPr>
              <w:t>’</w:t>
            </w:r>
            <w:r w:rsidRPr="00422E02">
              <w:rPr>
                <w:color w:val="000000"/>
                <w:sz w:val="18"/>
              </w:rPr>
              <w:t>intervention d</w:t>
            </w:r>
            <w:r w:rsidR="00422E02" w:rsidRPr="00422E02">
              <w:rPr>
                <w:color w:val="000000"/>
                <w:sz w:val="18"/>
              </w:rPr>
              <w:t>’</w:t>
            </w:r>
            <w:r w:rsidRPr="00422E02">
              <w:rPr>
                <w:color w:val="000000"/>
                <w:sz w:val="18"/>
              </w:rPr>
              <w:t>urgence approuvées des OBC/GE qui répondent aux critères du projet</w:t>
            </w:r>
          </w:p>
        </w:tc>
        <w:tc>
          <w:tcPr>
            <w:tcW w:w="72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20</w:t>
            </w:r>
          </w:p>
        </w:tc>
        <w:tc>
          <w:tcPr>
            <w:tcW w:w="1578"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Microfinancements</w:t>
            </w:r>
          </w:p>
        </w:tc>
        <w:tc>
          <w:tcPr>
            <w:tcW w:w="1122" w:type="dxa"/>
            <w:tcBorders>
              <w:top w:val="single" w:sz="4" w:space="0" w:color="auto"/>
              <w:left w:val="nil"/>
              <w:bottom w:val="single" w:sz="4" w:space="0" w:color="auto"/>
              <w:right w:val="single" w:sz="4" w:space="0" w:color="auto"/>
            </w:tcBorders>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 xml:space="preserve">125 000 </w:t>
            </w:r>
          </w:p>
        </w:tc>
        <w:tc>
          <w:tcPr>
            <w:tcW w:w="1663" w:type="dxa"/>
            <w:tcBorders>
              <w:top w:val="single" w:sz="4" w:space="0" w:color="auto"/>
              <w:left w:val="single" w:sz="4" w:space="0" w:color="auto"/>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Ce sont des moyennes, avec un plafond maximum de 150 000 par microfinancement.</w:t>
            </w:r>
          </w:p>
        </w:tc>
        <w:tc>
          <w:tcPr>
            <w:tcW w:w="54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1</w:t>
            </w:r>
          </w:p>
        </w:tc>
        <w:tc>
          <w:tcPr>
            <w:tcW w:w="943"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 xml:space="preserve"> ponctuel </w:t>
            </w:r>
          </w:p>
        </w:tc>
        <w:tc>
          <w:tcPr>
            <w:tcW w:w="1753"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 xml:space="preserve">   </w:t>
            </w:r>
          </w:p>
          <w:p w:rsidR="00B16254" w:rsidRPr="00422E02" w:rsidRDefault="00EE06AE" w:rsidP="001F0D55">
            <w:pPr>
              <w:spacing w:line="240" w:lineRule="auto"/>
              <w:rPr>
                <w:color w:val="FF0000"/>
                <w:sz w:val="18"/>
              </w:rPr>
            </w:pPr>
            <w:r w:rsidRPr="00422E02">
              <w:rPr>
                <w:color w:val="FF0000"/>
                <w:sz w:val="18"/>
              </w:rPr>
              <w:t xml:space="preserve"> 2 500 000 </w:t>
            </w:r>
          </w:p>
        </w:tc>
        <w:tc>
          <w:tcPr>
            <w:tcW w:w="2841" w:type="dxa"/>
            <w:tcBorders>
              <w:top w:val="single" w:sz="4" w:space="0" w:color="auto"/>
              <w:left w:val="nil"/>
              <w:bottom w:val="single" w:sz="4" w:space="0" w:color="auto"/>
              <w:right w:val="single" w:sz="4" w:space="0" w:color="auto"/>
            </w:tcBorders>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80 000</w:t>
            </w:r>
          </w:p>
          <w:p w:rsidR="00B16254" w:rsidRPr="00422E02" w:rsidRDefault="0005240C" w:rsidP="001F0D55">
            <w:pPr>
              <w:spacing w:line="240" w:lineRule="auto"/>
              <w:rPr>
                <w:color w:val="FF0000"/>
                <w:sz w:val="18"/>
              </w:rPr>
            </w:pPr>
            <w:r>
              <w:rPr>
                <w:color w:val="FF0000"/>
                <w:sz w:val="18"/>
              </w:rPr>
              <w:t>é</w:t>
            </w:r>
            <w:r w:rsidR="00EE06AE" w:rsidRPr="00422E02">
              <w:rPr>
                <w:color w:val="FF0000"/>
                <w:sz w:val="18"/>
              </w:rPr>
              <w:t>quivalent à 10 jours-personnes à 200 pesos plus une moyenne de 2 000 pesos de matériaux locaux en nature pour chaque projet</w:t>
            </w:r>
          </w:p>
        </w:tc>
        <w:tc>
          <w:tcPr>
            <w:tcW w:w="1620" w:type="dxa"/>
            <w:tcBorders>
              <w:top w:val="single" w:sz="4" w:space="0" w:color="auto"/>
              <w:left w:val="nil"/>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 xml:space="preserve">   </w:t>
            </w:r>
          </w:p>
          <w:p w:rsidR="00B16254" w:rsidRPr="00422E02" w:rsidRDefault="00EE06AE" w:rsidP="001F0D55">
            <w:pPr>
              <w:spacing w:line="240" w:lineRule="auto"/>
              <w:rPr>
                <w:color w:val="FF0000"/>
                <w:sz w:val="18"/>
              </w:rPr>
            </w:pPr>
            <w:r w:rsidRPr="00422E02">
              <w:rPr>
                <w:color w:val="FF0000"/>
                <w:sz w:val="18"/>
              </w:rPr>
              <w:t xml:space="preserve">2 580 000 </w:t>
            </w:r>
          </w:p>
        </w:tc>
      </w:tr>
      <w:tr w:rsidR="00B16254" w:rsidRPr="00422E02" w:rsidTr="001F0D55">
        <w:trPr>
          <w:trHeight w:val="1380"/>
        </w:trPr>
        <w:tc>
          <w:tcPr>
            <w:tcW w:w="2335" w:type="dxa"/>
            <w:tcBorders>
              <w:top w:val="nil"/>
              <w:left w:val="single" w:sz="4" w:space="0" w:color="auto"/>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4. Coûts liés à l</w:t>
            </w:r>
            <w:r w:rsidR="00422E02" w:rsidRPr="00422E02">
              <w:rPr>
                <w:color w:val="000000"/>
                <w:sz w:val="18"/>
              </w:rPr>
              <w:t>’</w:t>
            </w:r>
            <w:r w:rsidRPr="00422E02">
              <w:rPr>
                <w:color w:val="000000"/>
                <w:sz w:val="18"/>
              </w:rPr>
              <w:t>offre d</w:t>
            </w:r>
            <w:r w:rsidR="00422E02" w:rsidRPr="00422E02">
              <w:rPr>
                <w:color w:val="000000"/>
                <w:sz w:val="18"/>
              </w:rPr>
              <w:t>’</w:t>
            </w:r>
            <w:r w:rsidRPr="00422E02">
              <w:rPr>
                <w:color w:val="000000"/>
                <w:sz w:val="18"/>
              </w:rPr>
              <w:t>une formation rapide supplémentaire en compétences par des personnes-ressources expérimentées</w:t>
            </w:r>
          </w:p>
        </w:tc>
        <w:tc>
          <w:tcPr>
            <w:tcW w:w="72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3</w:t>
            </w:r>
          </w:p>
        </w:tc>
        <w:tc>
          <w:tcPr>
            <w:tcW w:w="1578"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000000"/>
                <w:sz w:val="18"/>
              </w:rPr>
            </w:pPr>
            <w:r w:rsidRPr="00422E02">
              <w:rPr>
                <w:color w:val="000000"/>
                <w:sz w:val="18"/>
              </w:rPr>
              <w:t>Coûts des formateurs par session de formation (honoraires, transports, frais de terrain, etc.)</w:t>
            </w:r>
          </w:p>
        </w:tc>
        <w:tc>
          <w:tcPr>
            <w:tcW w:w="1122" w:type="dxa"/>
            <w:tcBorders>
              <w:top w:val="single" w:sz="4" w:space="0" w:color="auto"/>
              <w:left w:val="nil"/>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 xml:space="preserve">  </w:t>
            </w:r>
          </w:p>
          <w:p w:rsidR="00B16254" w:rsidRPr="00422E02" w:rsidRDefault="00EE06AE" w:rsidP="001F0D55">
            <w:pPr>
              <w:spacing w:line="240" w:lineRule="auto"/>
              <w:rPr>
                <w:color w:val="FF0000"/>
                <w:sz w:val="18"/>
              </w:rPr>
            </w:pPr>
            <w:r w:rsidRPr="00422E02">
              <w:rPr>
                <w:color w:val="FF0000"/>
                <w:sz w:val="18"/>
              </w:rPr>
              <w:t xml:space="preserve">40 000 </w:t>
            </w:r>
          </w:p>
        </w:tc>
        <w:tc>
          <w:tcPr>
            <w:tcW w:w="1663" w:type="dxa"/>
            <w:tcBorders>
              <w:top w:val="single" w:sz="4" w:space="0" w:color="auto"/>
              <w:left w:val="single" w:sz="4" w:space="0" w:color="auto"/>
              <w:bottom w:val="single" w:sz="4" w:space="0" w:color="auto"/>
              <w:right w:val="single" w:sz="4" w:space="0" w:color="auto"/>
            </w:tcBorders>
          </w:tcPr>
          <w:p w:rsidR="00B16254" w:rsidRPr="00422E02" w:rsidRDefault="00EE06AE" w:rsidP="001F0D55">
            <w:pPr>
              <w:spacing w:line="240" w:lineRule="auto"/>
              <w:rPr>
                <w:color w:val="FF0000"/>
                <w:sz w:val="18"/>
              </w:rPr>
            </w:pPr>
            <w:r w:rsidRPr="00422E02">
              <w:rPr>
                <w:color w:val="FF0000"/>
                <w:sz w:val="18"/>
              </w:rPr>
              <w:t>Suppose seulement 1 jour sur le terrain pour chaque formateur</w:t>
            </w:r>
          </w:p>
        </w:tc>
        <w:tc>
          <w:tcPr>
            <w:tcW w:w="540"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1</w:t>
            </w:r>
          </w:p>
        </w:tc>
        <w:tc>
          <w:tcPr>
            <w:tcW w:w="943" w:type="dxa"/>
            <w:tcBorders>
              <w:top w:val="nil"/>
              <w:left w:val="nil"/>
              <w:bottom w:val="single" w:sz="4" w:space="0" w:color="auto"/>
              <w:right w:val="single" w:sz="4" w:space="0" w:color="auto"/>
            </w:tcBorders>
            <w:shd w:val="clear" w:color="auto" w:fill="auto"/>
          </w:tcPr>
          <w:p w:rsidR="00B16254" w:rsidRPr="00422E02" w:rsidRDefault="00EE06AE" w:rsidP="001F0D55">
            <w:pPr>
              <w:spacing w:line="240" w:lineRule="auto"/>
              <w:rPr>
                <w:color w:val="FF0000"/>
                <w:sz w:val="18"/>
              </w:rPr>
            </w:pPr>
            <w:r w:rsidRPr="00422E02">
              <w:rPr>
                <w:color w:val="FF0000"/>
                <w:sz w:val="18"/>
              </w:rPr>
              <w:t xml:space="preserve"> temps </w:t>
            </w:r>
          </w:p>
        </w:tc>
        <w:tc>
          <w:tcPr>
            <w:tcW w:w="1753" w:type="dxa"/>
            <w:tcBorders>
              <w:top w:val="nil"/>
              <w:left w:val="nil"/>
              <w:bottom w:val="single" w:sz="4" w:space="0" w:color="auto"/>
              <w:right w:val="single" w:sz="4" w:space="0" w:color="auto"/>
            </w:tcBorders>
            <w:shd w:val="clear" w:color="auto" w:fill="auto"/>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 xml:space="preserve">120 000 </w:t>
            </w:r>
          </w:p>
        </w:tc>
        <w:tc>
          <w:tcPr>
            <w:tcW w:w="2841" w:type="dxa"/>
            <w:tcBorders>
              <w:top w:val="single" w:sz="4" w:space="0" w:color="auto"/>
              <w:left w:val="nil"/>
              <w:bottom w:val="single" w:sz="4" w:space="0" w:color="auto"/>
              <w:right w:val="single" w:sz="4" w:space="0" w:color="auto"/>
            </w:tcBorders>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10 000</w:t>
            </w:r>
          </w:p>
          <w:p w:rsidR="00B16254" w:rsidRPr="00422E02" w:rsidRDefault="0005240C" w:rsidP="001F0D55">
            <w:pPr>
              <w:spacing w:line="240" w:lineRule="auto"/>
              <w:rPr>
                <w:color w:val="FF0000"/>
                <w:sz w:val="18"/>
              </w:rPr>
            </w:pPr>
            <w:r>
              <w:rPr>
                <w:color w:val="FF0000"/>
                <w:sz w:val="18"/>
              </w:rPr>
              <w:t>é</w:t>
            </w:r>
            <w:r w:rsidR="00EE06AE" w:rsidRPr="00422E02">
              <w:rPr>
                <w:color w:val="FF0000"/>
                <w:sz w:val="18"/>
              </w:rPr>
              <w:t xml:space="preserve">quivalent à 100 demi-journées-personnes à 100 pesos pour les villageois qui donnent de leur temps pour recevoir une formation professionnelle afin de répondre aux besoins de leur communauté au sens large. </w:t>
            </w:r>
          </w:p>
        </w:tc>
        <w:tc>
          <w:tcPr>
            <w:tcW w:w="1620" w:type="dxa"/>
            <w:tcBorders>
              <w:top w:val="single" w:sz="4" w:space="0" w:color="auto"/>
              <w:left w:val="nil"/>
              <w:bottom w:val="single" w:sz="4" w:space="0" w:color="auto"/>
              <w:right w:val="single" w:sz="4" w:space="0" w:color="auto"/>
            </w:tcBorders>
          </w:tcPr>
          <w:p w:rsidR="00B16254" w:rsidRPr="00422E02" w:rsidRDefault="00B16254" w:rsidP="001F0D55">
            <w:pPr>
              <w:spacing w:line="240" w:lineRule="auto"/>
              <w:rPr>
                <w:color w:val="FF0000"/>
                <w:sz w:val="18"/>
              </w:rPr>
            </w:pPr>
          </w:p>
          <w:p w:rsidR="00B16254" w:rsidRPr="00422E02" w:rsidRDefault="00EE06AE" w:rsidP="001F0D55">
            <w:pPr>
              <w:spacing w:line="240" w:lineRule="auto"/>
              <w:rPr>
                <w:color w:val="FF0000"/>
                <w:sz w:val="18"/>
              </w:rPr>
            </w:pPr>
            <w:r w:rsidRPr="00422E02">
              <w:rPr>
                <w:color w:val="FF0000"/>
                <w:sz w:val="18"/>
              </w:rPr>
              <w:t xml:space="preserve">130 000 </w:t>
            </w:r>
          </w:p>
        </w:tc>
      </w:tr>
      <w:tr w:rsidR="00B16254" w:rsidRPr="00422E02" w:rsidTr="001F0D55">
        <w:trPr>
          <w:trHeight w:val="423"/>
        </w:trPr>
        <w:tc>
          <w:tcPr>
            <w:tcW w:w="2335" w:type="dxa"/>
            <w:tcBorders>
              <w:top w:val="nil"/>
              <w:left w:val="single" w:sz="4" w:space="0" w:color="auto"/>
              <w:bottom w:val="single" w:sz="4" w:space="0" w:color="auto"/>
              <w:right w:val="single" w:sz="4" w:space="0" w:color="auto"/>
            </w:tcBorders>
            <w:shd w:val="clear" w:color="auto" w:fill="auto"/>
            <w:vAlign w:val="center"/>
          </w:tcPr>
          <w:p w:rsidR="00B16254" w:rsidRPr="00422E02" w:rsidRDefault="00EE06AE" w:rsidP="001F0D55">
            <w:pPr>
              <w:spacing w:line="240" w:lineRule="auto"/>
              <w:rPr>
                <w:color w:val="000000"/>
                <w:sz w:val="18"/>
              </w:rPr>
            </w:pPr>
            <w:r w:rsidRPr="00422E02">
              <w:rPr>
                <w:b/>
                <w:i/>
                <w:color w:val="000000"/>
                <w:sz w:val="18"/>
              </w:rPr>
              <w:t>Sous-total</w:t>
            </w:r>
          </w:p>
        </w:tc>
        <w:tc>
          <w:tcPr>
            <w:tcW w:w="720" w:type="dxa"/>
            <w:tcBorders>
              <w:top w:val="nil"/>
              <w:left w:val="nil"/>
              <w:bottom w:val="single" w:sz="4" w:space="0" w:color="auto"/>
              <w:right w:val="single" w:sz="4" w:space="0" w:color="auto"/>
            </w:tcBorders>
            <w:shd w:val="clear" w:color="auto" w:fill="auto"/>
            <w:vAlign w:val="center"/>
          </w:tcPr>
          <w:p w:rsidR="00B16254" w:rsidRPr="00422E02" w:rsidRDefault="00B16254" w:rsidP="001F0D55">
            <w:pPr>
              <w:spacing w:line="240" w:lineRule="auto"/>
              <w:rPr>
                <w:color w:val="000000"/>
                <w:sz w:val="18"/>
              </w:rPr>
            </w:pPr>
          </w:p>
        </w:tc>
        <w:tc>
          <w:tcPr>
            <w:tcW w:w="1578" w:type="dxa"/>
            <w:tcBorders>
              <w:top w:val="nil"/>
              <w:left w:val="nil"/>
              <w:bottom w:val="single" w:sz="4" w:space="0" w:color="auto"/>
              <w:right w:val="single" w:sz="4" w:space="0" w:color="auto"/>
            </w:tcBorders>
            <w:shd w:val="clear" w:color="auto" w:fill="auto"/>
            <w:vAlign w:val="center"/>
          </w:tcPr>
          <w:p w:rsidR="00B16254" w:rsidRPr="00422E02" w:rsidRDefault="00B16254" w:rsidP="001F0D55">
            <w:pPr>
              <w:spacing w:line="240" w:lineRule="auto"/>
              <w:rPr>
                <w:color w:val="000000"/>
                <w:sz w:val="18"/>
              </w:rPr>
            </w:pPr>
          </w:p>
        </w:tc>
        <w:tc>
          <w:tcPr>
            <w:tcW w:w="1122" w:type="dxa"/>
            <w:tcBorders>
              <w:top w:val="single" w:sz="4" w:space="0" w:color="auto"/>
              <w:left w:val="nil"/>
              <w:bottom w:val="single" w:sz="4" w:space="0" w:color="auto"/>
              <w:right w:val="single" w:sz="4" w:space="0" w:color="auto"/>
            </w:tcBorders>
            <w:vAlign w:val="center"/>
          </w:tcPr>
          <w:p w:rsidR="00B16254" w:rsidRPr="00422E02" w:rsidRDefault="00B16254" w:rsidP="001F0D55">
            <w:pPr>
              <w:spacing w:line="240" w:lineRule="auto"/>
              <w:rPr>
                <w:color w:val="000000"/>
                <w:sz w:val="18"/>
              </w:rPr>
            </w:pPr>
          </w:p>
        </w:tc>
        <w:tc>
          <w:tcPr>
            <w:tcW w:w="1663" w:type="dxa"/>
            <w:tcBorders>
              <w:top w:val="single" w:sz="4" w:space="0" w:color="auto"/>
              <w:left w:val="single" w:sz="4" w:space="0" w:color="auto"/>
              <w:bottom w:val="single" w:sz="4" w:space="0" w:color="auto"/>
              <w:right w:val="single" w:sz="4" w:space="0" w:color="auto"/>
            </w:tcBorders>
            <w:vAlign w:val="center"/>
          </w:tcPr>
          <w:p w:rsidR="00B16254" w:rsidRPr="00422E02" w:rsidRDefault="00B16254" w:rsidP="001F0D55">
            <w:pPr>
              <w:spacing w:line="240" w:lineRule="auto"/>
              <w:rPr>
                <w:color w:val="000000"/>
                <w:sz w:val="18"/>
              </w:rPr>
            </w:pPr>
          </w:p>
        </w:tc>
        <w:tc>
          <w:tcPr>
            <w:tcW w:w="540" w:type="dxa"/>
            <w:tcBorders>
              <w:top w:val="nil"/>
              <w:left w:val="nil"/>
              <w:bottom w:val="single" w:sz="4" w:space="0" w:color="auto"/>
              <w:right w:val="single" w:sz="4" w:space="0" w:color="auto"/>
            </w:tcBorders>
            <w:shd w:val="clear" w:color="auto" w:fill="auto"/>
            <w:vAlign w:val="center"/>
          </w:tcPr>
          <w:p w:rsidR="00B16254" w:rsidRPr="00422E02" w:rsidRDefault="00B16254" w:rsidP="001F0D55">
            <w:pPr>
              <w:spacing w:line="240" w:lineRule="auto"/>
              <w:rPr>
                <w:color w:val="000000"/>
                <w:sz w:val="18"/>
              </w:rPr>
            </w:pPr>
          </w:p>
        </w:tc>
        <w:tc>
          <w:tcPr>
            <w:tcW w:w="943" w:type="dxa"/>
            <w:tcBorders>
              <w:top w:val="nil"/>
              <w:left w:val="nil"/>
              <w:bottom w:val="single" w:sz="4" w:space="0" w:color="auto"/>
              <w:right w:val="single" w:sz="4" w:space="0" w:color="auto"/>
            </w:tcBorders>
            <w:shd w:val="clear" w:color="auto" w:fill="auto"/>
            <w:vAlign w:val="center"/>
          </w:tcPr>
          <w:p w:rsidR="00B16254" w:rsidRPr="00422E02" w:rsidRDefault="00B16254" w:rsidP="001F0D55">
            <w:pPr>
              <w:spacing w:line="240" w:lineRule="auto"/>
              <w:rPr>
                <w:color w:val="000000"/>
                <w:sz w:val="18"/>
              </w:rPr>
            </w:pPr>
          </w:p>
        </w:tc>
        <w:tc>
          <w:tcPr>
            <w:tcW w:w="1753" w:type="dxa"/>
            <w:tcBorders>
              <w:top w:val="nil"/>
              <w:left w:val="nil"/>
              <w:bottom w:val="single" w:sz="4" w:space="0" w:color="auto"/>
              <w:right w:val="single" w:sz="4" w:space="0" w:color="auto"/>
            </w:tcBorders>
            <w:shd w:val="clear" w:color="auto" w:fill="auto"/>
            <w:vAlign w:val="center"/>
          </w:tcPr>
          <w:p w:rsidR="00B16254" w:rsidRPr="00422E02" w:rsidRDefault="00EE06AE" w:rsidP="001F0D55">
            <w:pPr>
              <w:spacing w:line="240" w:lineRule="auto"/>
              <w:rPr>
                <w:b/>
                <w:i/>
                <w:color w:val="000000"/>
                <w:sz w:val="18"/>
              </w:rPr>
            </w:pPr>
            <w:r w:rsidRPr="00422E02">
              <w:rPr>
                <w:rFonts w:ascii="Calibri" w:hAnsi="Calibri"/>
                <w:b/>
                <w:i/>
                <w:color w:val="000000"/>
                <w:sz w:val="18"/>
              </w:rPr>
              <w:t>2 962 000</w:t>
            </w:r>
          </w:p>
        </w:tc>
        <w:tc>
          <w:tcPr>
            <w:tcW w:w="2841" w:type="dxa"/>
            <w:tcBorders>
              <w:top w:val="single" w:sz="4" w:space="0" w:color="auto"/>
              <w:left w:val="nil"/>
              <w:bottom w:val="single" w:sz="4" w:space="0" w:color="auto"/>
              <w:right w:val="single" w:sz="4" w:space="0" w:color="auto"/>
            </w:tcBorders>
            <w:vAlign w:val="center"/>
          </w:tcPr>
          <w:p w:rsidR="00B16254" w:rsidRPr="00422E02" w:rsidRDefault="00EE06AE" w:rsidP="001F0D55">
            <w:pPr>
              <w:spacing w:line="240" w:lineRule="auto"/>
              <w:rPr>
                <w:b/>
                <w:color w:val="000000"/>
                <w:sz w:val="18"/>
              </w:rPr>
            </w:pPr>
            <w:r w:rsidRPr="00422E02">
              <w:rPr>
                <w:b/>
                <w:color w:val="000000"/>
                <w:sz w:val="18"/>
              </w:rPr>
              <w:t>équivalent à 114 000 pesos</w:t>
            </w:r>
          </w:p>
        </w:tc>
        <w:tc>
          <w:tcPr>
            <w:tcW w:w="1620" w:type="dxa"/>
            <w:tcBorders>
              <w:top w:val="single" w:sz="4" w:space="0" w:color="auto"/>
              <w:left w:val="nil"/>
              <w:bottom w:val="single" w:sz="4" w:space="0" w:color="auto"/>
              <w:right w:val="single" w:sz="4" w:space="0" w:color="auto"/>
            </w:tcBorders>
            <w:vAlign w:val="center"/>
          </w:tcPr>
          <w:p w:rsidR="00B16254" w:rsidRPr="00422E02" w:rsidRDefault="00EE06AE" w:rsidP="001F0D55">
            <w:pPr>
              <w:spacing w:line="240" w:lineRule="auto"/>
              <w:rPr>
                <w:b/>
                <w:color w:val="000000"/>
                <w:sz w:val="18"/>
              </w:rPr>
            </w:pPr>
            <w:r w:rsidRPr="00422E02">
              <w:rPr>
                <w:b/>
                <w:color w:val="000000"/>
                <w:sz w:val="18"/>
              </w:rPr>
              <w:t>3 076 000</w:t>
            </w:r>
          </w:p>
        </w:tc>
      </w:tr>
      <w:tr w:rsidR="00B16254" w:rsidRPr="00422E02" w:rsidTr="001F0D55">
        <w:trPr>
          <w:trHeight w:val="423"/>
        </w:trPr>
        <w:tc>
          <w:tcPr>
            <w:tcW w:w="4633" w:type="dxa"/>
            <w:gridSpan w:val="3"/>
            <w:tcBorders>
              <w:top w:val="nil"/>
              <w:left w:val="single" w:sz="4" w:space="0" w:color="auto"/>
              <w:bottom w:val="single" w:sz="4" w:space="0" w:color="auto"/>
              <w:right w:val="single" w:sz="4" w:space="0" w:color="auto"/>
            </w:tcBorders>
            <w:shd w:val="clear" w:color="auto" w:fill="auto"/>
            <w:vAlign w:val="center"/>
          </w:tcPr>
          <w:p w:rsidR="00B16254" w:rsidRPr="00422E02" w:rsidRDefault="00EE06AE" w:rsidP="001F0D55">
            <w:pPr>
              <w:spacing w:line="240" w:lineRule="auto"/>
              <w:rPr>
                <w:color w:val="000000"/>
                <w:sz w:val="18"/>
              </w:rPr>
            </w:pPr>
            <w:r w:rsidRPr="00422E02">
              <w:rPr>
                <w:color w:val="000000"/>
                <w:sz w:val="18"/>
              </w:rPr>
              <w:t>Administration et gestion à 10 %</w:t>
            </w:r>
          </w:p>
        </w:tc>
        <w:tc>
          <w:tcPr>
            <w:tcW w:w="1122" w:type="dxa"/>
            <w:tcBorders>
              <w:top w:val="single" w:sz="4" w:space="0" w:color="auto"/>
              <w:left w:val="nil"/>
              <w:bottom w:val="single" w:sz="4" w:space="0" w:color="auto"/>
              <w:right w:val="single" w:sz="4" w:space="0" w:color="auto"/>
            </w:tcBorders>
            <w:vAlign w:val="center"/>
          </w:tcPr>
          <w:p w:rsidR="00B16254" w:rsidRPr="00422E02" w:rsidRDefault="00B16254" w:rsidP="001F0D55">
            <w:pPr>
              <w:spacing w:line="240" w:lineRule="auto"/>
              <w:rPr>
                <w:color w:val="000000"/>
                <w:sz w:val="18"/>
              </w:rPr>
            </w:pPr>
          </w:p>
        </w:tc>
        <w:tc>
          <w:tcPr>
            <w:tcW w:w="1663" w:type="dxa"/>
            <w:tcBorders>
              <w:top w:val="single" w:sz="4" w:space="0" w:color="auto"/>
              <w:left w:val="single" w:sz="4" w:space="0" w:color="auto"/>
              <w:bottom w:val="single" w:sz="4" w:space="0" w:color="auto"/>
              <w:right w:val="single" w:sz="4" w:space="0" w:color="auto"/>
            </w:tcBorders>
            <w:vAlign w:val="center"/>
          </w:tcPr>
          <w:p w:rsidR="00B16254" w:rsidRPr="00422E02" w:rsidRDefault="00B16254" w:rsidP="001F0D55">
            <w:pPr>
              <w:spacing w:line="240" w:lineRule="auto"/>
              <w:rPr>
                <w:color w:val="000000"/>
                <w:sz w:val="18"/>
              </w:rPr>
            </w:pPr>
          </w:p>
        </w:tc>
        <w:tc>
          <w:tcPr>
            <w:tcW w:w="540" w:type="dxa"/>
            <w:tcBorders>
              <w:top w:val="nil"/>
              <w:left w:val="nil"/>
              <w:bottom w:val="single" w:sz="4" w:space="0" w:color="auto"/>
              <w:right w:val="single" w:sz="4" w:space="0" w:color="auto"/>
            </w:tcBorders>
            <w:shd w:val="clear" w:color="auto" w:fill="auto"/>
            <w:vAlign w:val="center"/>
          </w:tcPr>
          <w:p w:rsidR="00B16254" w:rsidRPr="00422E02" w:rsidRDefault="00B16254" w:rsidP="001F0D55">
            <w:pPr>
              <w:spacing w:line="240" w:lineRule="auto"/>
              <w:rPr>
                <w:color w:val="000000"/>
                <w:sz w:val="18"/>
              </w:rPr>
            </w:pPr>
          </w:p>
        </w:tc>
        <w:tc>
          <w:tcPr>
            <w:tcW w:w="943" w:type="dxa"/>
            <w:tcBorders>
              <w:top w:val="nil"/>
              <w:left w:val="nil"/>
              <w:bottom w:val="single" w:sz="4" w:space="0" w:color="auto"/>
              <w:right w:val="single" w:sz="4" w:space="0" w:color="auto"/>
            </w:tcBorders>
            <w:shd w:val="clear" w:color="auto" w:fill="auto"/>
            <w:vAlign w:val="center"/>
          </w:tcPr>
          <w:p w:rsidR="00B16254" w:rsidRPr="00422E02" w:rsidRDefault="00B16254" w:rsidP="001F0D55">
            <w:pPr>
              <w:spacing w:line="240" w:lineRule="auto"/>
              <w:rPr>
                <w:color w:val="000000"/>
                <w:sz w:val="18"/>
              </w:rPr>
            </w:pPr>
          </w:p>
        </w:tc>
        <w:tc>
          <w:tcPr>
            <w:tcW w:w="1753" w:type="dxa"/>
            <w:tcBorders>
              <w:top w:val="nil"/>
              <w:left w:val="nil"/>
              <w:bottom w:val="single" w:sz="4" w:space="0" w:color="auto"/>
              <w:right w:val="single" w:sz="4" w:space="0" w:color="auto"/>
            </w:tcBorders>
            <w:shd w:val="clear" w:color="auto" w:fill="auto"/>
            <w:vAlign w:val="center"/>
          </w:tcPr>
          <w:p w:rsidR="00B16254" w:rsidRPr="00422E02" w:rsidRDefault="00EE06AE" w:rsidP="001F0D55">
            <w:pPr>
              <w:spacing w:line="240" w:lineRule="auto"/>
              <w:rPr>
                <w:color w:val="000000"/>
                <w:sz w:val="18"/>
              </w:rPr>
            </w:pPr>
            <w:r w:rsidRPr="00422E02">
              <w:rPr>
                <w:color w:val="000000"/>
                <w:sz w:val="18"/>
              </w:rPr>
              <w:t>296 200</w:t>
            </w:r>
          </w:p>
        </w:tc>
        <w:tc>
          <w:tcPr>
            <w:tcW w:w="2841" w:type="dxa"/>
            <w:tcBorders>
              <w:top w:val="single" w:sz="4" w:space="0" w:color="auto"/>
              <w:left w:val="nil"/>
              <w:bottom w:val="single" w:sz="4" w:space="0" w:color="auto"/>
              <w:right w:val="single" w:sz="4" w:space="0" w:color="auto"/>
            </w:tcBorders>
            <w:vAlign w:val="center"/>
          </w:tcPr>
          <w:p w:rsidR="00B16254" w:rsidRPr="00422E02" w:rsidRDefault="00EE06AE" w:rsidP="001F0D55">
            <w:pPr>
              <w:spacing w:line="240" w:lineRule="auto"/>
              <w:rPr>
                <w:color w:val="000000"/>
                <w:sz w:val="18"/>
              </w:rPr>
            </w:pPr>
            <w:r w:rsidRPr="00422E02">
              <w:rPr>
                <w:color w:val="000000"/>
                <w:sz w:val="18"/>
              </w:rPr>
              <w:t>0</w:t>
            </w:r>
          </w:p>
        </w:tc>
        <w:tc>
          <w:tcPr>
            <w:tcW w:w="1620" w:type="dxa"/>
            <w:tcBorders>
              <w:top w:val="single" w:sz="4" w:space="0" w:color="auto"/>
              <w:left w:val="nil"/>
              <w:bottom w:val="single" w:sz="4" w:space="0" w:color="auto"/>
              <w:right w:val="single" w:sz="4" w:space="0" w:color="auto"/>
            </w:tcBorders>
            <w:vAlign w:val="center"/>
          </w:tcPr>
          <w:p w:rsidR="00B16254" w:rsidRPr="00422E02" w:rsidRDefault="00EE06AE" w:rsidP="001F0D55">
            <w:pPr>
              <w:spacing w:line="240" w:lineRule="auto"/>
              <w:rPr>
                <w:color w:val="000000"/>
                <w:sz w:val="18"/>
              </w:rPr>
            </w:pPr>
            <w:r w:rsidRPr="00422E02">
              <w:rPr>
                <w:color w:val="000000"/>
                <w:sz w:val="18"/>
              </w:rPr>
              <w:t>296 200</w:t>
            </w:r>
          </w:p>
        </w:tc>
      </w:tr>
      <w:tr w:rsidR="00B16254" w:rsidRPr="00422E02" w:rsidTr="001F0D55">
        <w:trPr>
          <w:trHeight w:val="423"/>
        </w:trPr>
        <w:tc>
          <w:tcPr>
            <w:tcW w:w="2335" w:type="dxa"/>
            <w:tcBorders>
              <w:top w:val="nil"/>
              <w:left w:val="single" w:sz="4" w:space="0" w:color="auto"/>
              <w:bottom w:val="single" w:sz="4" w:space="0" w:color="auto"/>
              <w:right w:val="single" w:sz="4" w:space="0" w:color="auto"/>
            </w:tcBorders>
            <w:shd w:val="clear" w:color="auto" w:fill="auto"/>
            <w:vAlign w:val="bottom"/>
          </w:tcPr>
          <w:p w:rsidR="00B16254" w:rsidRPr="00422E02" w:rsidRDefault="00EE06AE" w:rsidP="001F0D55">
            <w:pPr>
              <w:spacing w:line="240" w:lineRule="auto"/>
              <w:rPr>
                <w:color w:val="000000"/>
                <w:sz w:val="18"/>
              </w:rPr>
            </w:pPr>
            <w:r w:rsidRPr="00422E02">
              <w:rPr>
                <w:b/>
                <w:color w:val="000000"/>
                <w:sz w:val="18"/>
              </w:rPr>
              <w:t>Total général</w:t>
            </w:r>
          </w:p>
        </w:tc>
        <w:tc>
          <w:tcPr>
            <w:tcW w:w="720" w:type="dxa"/>
            <w:tcBorders>
              <w:top w:val="nil"/>
              <w:left w:val="nil"/>
              <w:bottom w:val="single" w:sz="4" w:space="0" w:color="auto"/>
              <w:right w:val="single" w:sz="4" w:space="0" w:color="auto"/>
            </w:tcBorders>
            <w:shd w:val="clear" w:color="auto" w:fill="auto"/>
            <w:vAlign w:val="bottom"/>
          </w:tcPr>
          <w:p w:rsidR="00B16254" w:rsidRPr="00422E02" w:rsidRDefault="00B16254" w:rsidP="001F0D55">
            <w:pPr>
              <w:spacing w:line="240" w:lineRule="auto"/>
              <w:rPr>
                <w:color w:val="000000"/>
                <w:sz w:val="18"/>
              </w:rPr>
            </w:pPr>
          </w:p>
        </w:tc>
        <w:tc>
          <w:tcPr>
            <w:tcW w:w="1578" w:type="dxa"/>
            <w:tcBorders>
              <w:top w:val="nil"/>
              <w:left w:val="nil"/>
              <w:bottom w:val="single" w:sz="4" w:space="0" w:color="auto"/>
              <w:right w:val="single" w:sz="4" w:space="0" w:color="auto"/>
            </w:tcBorders>
            <w:shd w:val="clear" w:color="auto" w:fill="auto"/>
            <w:vAlign w:val="bottom"/>
          </w:tcPr>
          <w:p w:rsidR="00B16254" w:rsidRPr="00422E02" w:rsidRDefault="00B16254" w:rsidP="001F0D55">
            <w:pPr>
              <w:spacing w:line="240" w:lineRule="auto"/>
              <w:rPr>
                <w:color w:val="000000"/>
                <w:sz w:val="18"/>
              </w:rPr>
            </w:pPr>
          </w:p>
        </w:tc>
        <w:tc>
          <w:tcPr>
            <w:tcW w:w="1122" w:type="dxa"/>
            <w:tcBorders>
              <w:top w:val="single" w:sz="4" w:space="0" w:color="auto"/>
              <w:left w:val="nil"/>
              <w:bottom w:val="single" w:sz="4" w:space="0" w:color="auto"/>
              <w:right w:val="single" w:sz="4" w:space="0" w:color="auto"/>
            </w:tcBorders>
            <w:vAlign w:val="bottom"/>
          </w:tcPr>
          <w:p w:rsidR="00B16254" w:rsidRPr="00422E02" w:rsidRDefault="00B16254" w:rsidP="001F0D55">
            <w:pPr>
              <w:spacing w:line="240" w:lineRule="auto"/>
              <w:rPr>
                <w:color w:val="000000"/>
                <w:sz w:val="18"/>
              </w:rPr>
            </w:pPr>
          </w:p>
        </w:tc>
        <w:tc>
          <w:tcPr>
            <w:tcW w:w="1663" w:type="dxa"/>
            <w:tcBorders>
              <w:top w:val="single" w:sz="4" w:space="0" w:color="auto"/>
              <w:left w:val="single" w:sz="4" w:space="0" w:color="auto"/>
              <w:bottom w:val="single" w:sz="4" w:space="0" w:color="auto"/>
              <w:right w:val="single" w:sz="4" w:space="0" w:color="auto"/>
            </w:tcBorders>
            <w:vAlign w:val="bottom"/>
          </w:tcPr>
          <w:p w:rsidR="00B16254" w:rsidRPr="00422E02" w:rsidRDefault="00B16254" w:rsidP="001F0D55">
            <w:pPr>
              <w:spacing w:line="240" w:lineRule="auto"/>
              <w:rPr>
                <w:color w:val="000000"/>
                <w:sz w:val="18"/>
              </w:rPr>
            </w:pPr>
          </w:p>
        </w:tc>
        <w:tc>
          <w:tcPr>
            <w:tcW w:w="540" w:type="dxa"/>
            <w:tcBorders>
              <w:top w:val="nil"/>
              <w:left w:val="nil"/>
              <w:bottom w:val="single" w:sz="4" w:space="0" w:color="auto"/>
              <w:right w:val="single" w:sz="4" w:space="0" w:color="auto"/>
            </w:tcBorders>
            <w:shd w:val="clear" w:color="auto" w:fill="auto"/>
            <w:vAlign w:val="bottom"/>
          </w:tcPr>
          <w:p w:rsidR="00B16254" w:rsidRPr="00422E02" w:rsidRDefault="00B16254" w:rsidP="001F0D55">
            <w:pPr>
              <w:spacing w:line="240" w:lineRule="auto"/>
              <w:rPr>
                <w:color w:val="000000"/>
                <w:sz w:val="18"/>
              </w:rPr>
            </w:pPr>
          </w:p>
        </w:tc>
        <w:tc>
          <w:tcPr>
            <w:tcW w:w="943" w:type="dxa"/>
            <w:tcBorders>
              <w:top w:val="nil"/>
              <w:left w:val="nil"/>
              <w:bottom w:val="single" w:sz="4" w:space="0" w:color="auto"/>
              <w:right w:val="single" w:sz="4" w:space="0" w:color="auto"/>
            </w:tcBorders>
            <w:shd w:val="clear" w:color="auto" w:fill="auto"/>
            <w:vAlign w:val="bottom"/>
          </w:tcPr>
          <w:p w:rsidR="00B16254" w:rsidRPr="00422E02" w:rsidRDefault="00B16254" w:rsidP="001F0D55">
            <w:pPr>
              <w:spacing w:line="240" w:lineRule="auto"/>
              <w:rPr>
                <w:color w:val="000000"/>
                <w:sz w:val="18"/>
              </w:rPr>
            </w:pPr>
          </w:p>
        </w:tc>
        <w:tc>
          <w:tcPr>
            <w:tcW w:w="1753" w:type="dxa"/>
            <w:tcBorders>
              <w:top w:val="nil"/>
              <w:left w:val="nil"/>
              <w:bottom w:val="single" w:sz="4" w:space="0" w:color="auto"/>
              <w:right w:val="single" w:sz="4" w:space="0" w:color="auto"/>
            </w:tcBorders>
            <w:shd w:val="clear" w:color="auto" w:fill="auto"/>
            <w:vAlign w:val="bottom"/>
          </w:tcPr>
          <w:p w:rsidR="00B16254" w:rsidRPr="00422E02" w:rsidRDefault="00EE06AE" w:rsidP="001F0D55">
            <w:pPr>
              <w:spacing w:line="240" w:lineRule="auto"/>
              <w:rPr>
                <w:color w:val="000000"/>
                <w:sz w:val="18"/>
              </w:rPr>
            </w:pPr>
            <w:r w:rsidRPr="00422E02">
              <w:rPr>
                <w:b/>
                <w:color w:val="000000"/>
                <w:sz w:val="18"/>
              </w:rPr>
              <w:t>3 258 200</w:t>
            </w:r>
          </w:p>
        </w:tc>
        <w:tc>
          <w:tcPr>
            <w:tcW w:w="2841" w:type="dxa"/>
            <w:tcBorders>
              <w:top w:val="single" w:sz="4" w:space="0" w:color="auto"/>
              <w:left w:val="nil"/>
              <w:bottom w:val="single" w:sz="4" w:space="0" w:color="auto"/>
              <w:right w:val="single" w:sz="4" w:space="0" w:color="auto"/>
            </w:tcBorders>
            <w:vAlign w:val="bottom"/>
          </w:tcPr>
          <w:p w:rsidR="00B16254" w:rsidRPr="00422E02" w:rsidRDefault="00B16254" w:rsidP="001F0D55">
            <w:pPr>
              <w:spacing w:line="240" w:lineRule="auto"/>
              <w:rPr>
                <w:b/>
                <w:color w:val="000000"/>
                <w:sz w:val="18"/>
              </w:rPr>
            </w:pPr>
          </w:p>
        </w:tc>
        <w:tc>
          <w:tcPr>
            <w:tcW w:w="1620" w:type="dxa"/>
            <w:tcBorders>
              <w:top w:val="single" w:sz="4" w:space="0" w:color="auto"/>
              <w:left w:val="nil"/>
              <w:bottom w:val="single" w:sz="4" w:space="0" w:color="auto"/>
              <w:right w:val="single" w:sz="4" w:space="0" w:color="auto"/>
            </w:tcBorders>
            <w:vAlign w:val="bottom"/>
          </w:tcPr>
          <w:p w:rsidR="00B16254" w:rsidRPr="00422E02" w:rsidRDefault="00EE06AE" w:rsidP="001F0D55">
            <w:pPr>
              <w:spacing w:line="240" w:lineRule="auto"/>
              <w:rPr>
                <w:b/>
                <w:color w:val="000000"/>
                <w:sz w:val="18"/>
              </w:rPr>
            </w:pPr>
            <w:r w:rsidRPr="00422E02">
              <w:rPr>
                <w:b/>
                <w:color w:val="000000"/>
                <w:sz w:val="18"/>
              </w:rPr>
              <w:t>3 372 200</w:t>
            </w:r>
          </w:p>
        </w:tc>
      </w:tr>
    </w:tbl>
    <w:p w:rsidR="00B16254" w:rsidRPr="00422E02" w:rsidRDefault="00B16254" w:rsidP="00EB0875">
      <w:pPr>
        <w:spacing w:line="240" w:lineRule="auto"/>
        <w:ind w:left="360"/>
        <w:jc w:val="both"/>
      </w:pPr>
    </w:p>
    <w:p w:rsidR="00B16254" w:rsidRPr="00422E02" w:rsidRDefault="00B16254" w:rsidP="00EB0875">
      <w:pPr>
        <w:spacing w:line="240" w:lineRule="auto"/>
        <w:jc w:val="both"/>
      </w:pPr>
    </w:p>
    <w:p w:rsidR="00B16254" w:rsidRPr="00422E02" w:rsidRDefault="00EE06AE" w:rsidP="002B34EF">
      <w:pPr>
        <w:spacing w:line="240" w:lineRule="auto"/>
      </w:pPr>
      <w:r w:rsidRPr="00422E02">
        <w:lastRenderedPageBreak/>
        <w:t>Ce budget montre qu</w:t>
      </w:r>
      <w:r w:rsidR="00422E02" w:rsidRPr="00422E02">
        <w:t>’</w:t>
      </w:r>
      <w:r w:rsidRPr="00422E02">
        <w:t xml:space="preserve">un total de </w:t>
      </w:r>
      <w:r w:rsidRPr="00422E02">
        <w:rPr>
          <w:b/>
          <w:color w:val="FF0000"/>
          <w:highlight w:val="yellow"/>
        </w:rPr>
        <w:t>77 %</w:t>
      </w:r>
      <w:r w:rsidRPr="00422E02">
        <w:rPr>
          <w:color w:val="FF0000"/>
        </w:rPr>
        <w:t xml:space="preserve"> </w:t>
      </w:r>
      <w:r w:rsidRPr="00422E02">
        <w:t>des fonds du donateur vont directement aux bénéficiaires pour les subventions d</w:t>
      </w:r>
      <w:r w:rsidR="00422E02" w:rsidRPr="00422E02">
        <w:t>’</w:t>
      </w:r>
      <w:r w:rsidRPr="00422E02">
        <w:t>aide d</w:t>
      </w:r>
      <w:r w:rsidR="00422E02" w:rsidRPr="00422E02">
        <w:t>’</w:t>
      </w:r>
      <w:r w:rsidRPr="00422E02">
        <w:t>urgence et que 14 % supplémentaires  sont attribués pour la formation, le soutien des volontaires et les coûts liés au personnel de terrain pour faciliter la réponse SCLR qui contribue directement au renforcement de la résilience.</w:t>
      </w:r>
    </w:p>
    <w:p w:rsidR="00B16254" w:rsidRPr="00422E02" w:rsidRDefault="00B16254" w:rsidP="002B34EF">
      <w:pPr>
        <w:spacing w:line="240" w:lineRule="auto"/>
      </w:pPr>
    </w:p>
    <w:p w:rsidR="00B16254" w:rsidRPr="00422E02" w:rsidRDefault="00EE06AE" w:rsidP="002B34EF">
      <w:pPr>
        <w:spacing w:line="240" w:lineRule="auto"/>
        <w:sectPr w:rsidR="00B16254" w:rsidRPr="00422E02" w:rsidSect="004D02D5">
          <w:pgSz w:w="16838" w:h="11906" w:orient="landscape"/>
          <w:pgMar w:top="926" w:right="810" w:bottom="990" w:left="990" w:header="708" w:footer="708" w:gutter="0"/>
          <w:cols w:space="708"/>
          <w:docGrid w:linePitch="272"/>
        </w:sectPr>
      </w:pPr>
      <w:r w:rsidRPr="00422E02">
        <w:t>La valeur monétaire estimée de la contribution en nature des collectivités n</w:t>
      </w:r>
      <w:r w:rsidR="00422E02" w:rsidRPr="00422E02">
        <w:t>’</w:t>
      </w:r>
      <w:r w:rsidRPr="00422E02">
        <w:t>est clairement qu</w:t>
      </w:r>
      <w:r w:rsidR="00422E02" w:rsidRPr="00422E02">
        <w:t>’</w:t>
      </w:r>
      <w:r w:rsidRPr="00422E02">
        <w:t>une approximation, toutefois l</w:t>
      </w:r>
      <w:r w:rsidR="00422E02" w:rsidRPr="00422E02">
        <w:t>’</w:t>
      </w:r>
      <w:r w:rsidRPr="00422E02">
        <w:t>expérience suggère que cela fournit un indicateur global raisonnable des apports locaux.</w:t>
      </w:r>
      <w:r w:rsidR="00065E3D">
        <w:t xml:space="preserve"> </w:t>
      </w:r>
      <w:r w:rsidRPr="00422E02">
        <w:t xml:space="preserve">Cela représente environ </w:t>
      </w:r>
      <w:r w:rsidRPr="00422E02">
        <w:rPr>
          <w:color w:val="FF0000"/>
          <w:highlight w:val="yellow"/>
        </w:rPr>
        <w:t>3,5 %</w:t>
      </w:r>
      <w:r w:rsidRPr="00422E02">
        <w:rPr>
          <w:color w:val="FF0000"/>
        </w:rPr>
        <w:t xml:space="preserve"> </w:t>
      </w:r>
      <w:r w:rsidRPr="00422E02">
        <w:t>du budget total</w:t>
      </w:r>
      <w:r w:rsidR="00065E3D">
        <w:t>.</w:t>
      </w:r>
    </w:p>
    <w:p w:rsidR="00B16254" w:rsidRPr="00422E02" w:rsidRDefault="00EE06AE" w:rsidP="002B34EF">
      <w:pPr>
        <w:spacing w:after="60"/>
        <w:rPr>
          <w:i/>
          <w:sz w:val="16"/>
        </w:rPr>
      </w:pPr>
      <w:r w:rsidRPr="00422E02">
        <w:rPr>
          <w:b/>
        </w:rPr>
        <w:lastRenderedPageBreak/>
        <w:t>Annexe 1 - Résumé de l</w:t>
      </w:r>
      <w:r w:rsidR="00422E02" w:rsidRPr="00422E02">
        <w:rPr>
          <w:b/>
        </w:rPr>
        <w:t>’</w:t>
      </w:r>
      <w:r w:rsidRPr="00422E02">
        <w:rPr>
          <w:b/>
        </w:rPr>
        <w:t>approche SCLR guidant la logique d</w:t>
      </w:r>
      <w:r w:rsidR="00422E02" w:rsidRPr="00422E02">
        <w:rPr>
          <w:b/>
        </w:rPr>
        <w:t>’</w:t>
      </w:r>
      <w:r w:rsidRPr="00422E02">
        <w:rPr>
          <w:b/>
        </w:rPr>
        <w:t xml:space="preserve">intervention de ce projet </w:t>
      </w:r>
    </w:p>
    <w:p w:rsidR="00B16254" w:rsidRPr="00422E02" w:rsidRDefault="00EE06AE" w:rsidP="002B34EF">
      <w:pPr>
        <w:rPr>
          <w:color w:val="000000" w:themeColor="text1"/>
          <w:sz w:val="18"/>
        </w:rPr>
      </w:pPr>
      <w:r w:rsidRPr="00422E02">
        <w:rPr>
          <w:b/>
          <w:color w:val="000000" w:themeColor="text1"/>
          <w:sz w:val="18"/>
        </w:rPr>
        <w:t>Objectif plus large de l</w:t>
      </w:r>
      <w:r w:rsidR="00422E02" w:rsidRPr="00422E02">
        <w:rPr>
          <w:b/>
          <w:color w:val="000000" w:themeColor="text1"/>
          <w:sz w:val="18"/>
        </w:rPr>
        <w:t>’</w:t>
      </w:r>
      <w:r w:rsidRPr="00422E02">
        <w:rPr>
          <w:b/>
          <w:color w:val="000000" w:themeColor="text1"/>
          <w:sz w:val="18"/>
        </w:rPr>
        <w:t>approche :</w:t>
      </w:r>
      <w:r w:rsidRPr="00422E02">
        <w:rPr>
          <w:color w:val="000000" w:themeColor="text1"/>
          <w:sz w:val="18"/>
        </w:rPr>
        <w:t xml:space="preserve"> contribuer à l</w:t>
      </w:r>
      <w:r w:rsidR="00422E02" w:rsidRPr="00422E02">
        <w:rPr>
          <w:color w:val="000000" w:themeColor="text1"/>
          <w:sz w:val="18"/>
        </w:rPr>
        <w:t>’</w:t>
      </w:r>
      <w:r w:rsidRPr="00422E02">
        <w:rPr>
          <w:color w:val="000000" w:themeColor="text1"/>
          <w:sz w:val="18"/>
        </w:rPr>
        <w:t>élaboration d</w:t>
      </w:r>
      <w:r w:rsidR="00422E02" w:rsidRPr="00422E02">
        <w:rPr>
          <w:color w:val="000000" w:themeColor="text1"/>
          <w:sz w:val="18"/>
        </w:rPr>
        <w:t>’</w:t>
      </w:r>
      <w:r w:rsidRPr="00422E02">
        <w:rPr>
          <w:color w:val="000000" w:themeColor="text1"/>
          <w:sz w:val="18"/>
        </w:rPr>
        <w:t>une pratique générale qui donne la priorité aux communautés affectées par les catastrophes et qui leur permet de jouer un rôle beaucoup plus important dans l</w:t>
      </w:r>
      <w:r w:rsidR="00422E02" w:rsidRPr="00422E02">
        <w:rPr>
          <w:color w:val="000000" w:themeColor="text1"/>
          <w:sz w:val="18"/>
        </w:rPr>
        <w:t>’</w:t>
      </w:r>
      <w:r w:rsidRPr="00422E02">
        <w:rPr>
          <w:color w:val="000000" w:themeColor="text1"/>
          <w:sz w:val="18"/>
        </w:rPr>
        <w:t>élaboration et la mise en œuvre de leurs propres réponses globales aux crises auxquelles elles sont confrontées, conformément aux engagements pris au Sommet humanitaire mondial, au Pacte pour le changement et au Grand Prix pour la localisation de l</w:t>
      </w:r>
      <w:r w:rsidR="00422E02" w:rsidRPr="00422E02">
        <w:rPr>
          <w:color w:val="000000" w:themeColor="text1"/>
          <w:sz w:val="18"/>
        </w:rPr>
        <w:t>’</w:t>
      </w:r>
      <w:r w:rsidRPr="00422E02">
        <w:rPr>
          <w:color w:val="000000" w:themeColor="text1"/>
          <w:sz w:val="18"/>
        </w:rPr>
        <w:t>aide humanitaire.</w:t>
      </w:r>
      <w:r w:rsidRPr="00422E02">
        <w:t xml:space="preserve"> </w:t>
      </w:r>
    </w:p>
    <w:p w:rsidR="00B16254" w:rsidRPr="00422E02" w:rsidRDefault="00B16254" w:rsidP="002B34EF">
      <w:pPr>
        <w:rPr>
          <w:color w:val="000000" w:themeColor="text1"/>
          <w:sz w:val="18"/>
        </w:rPr>
      </w:pPr>
    </w:p>
    <w:p w:rsidR="00B16254" w:rsidRPr="00422E02" w:rsidRDefault="00EE06AE" w:rsidP="002B34EF">
      <w:pPr>
        <w:rPr>
          <w:color w:val="000000" w:themeColor="text1"/>
          <w:sz w:val="18"/>
        </w:rPr>
      </w:pPr>
      <w:r w:rsidRPr="00422E02">
        <w:rPr>
          <w:b/>
          <w:color w:val="000000" w:themeColor="text1"/>
          <w:sz w:val="18"/>
        </w:rPr>
        <w:t>Objectif immédiat</w:t>
      </w:r>
      <w:r w:rsidRPr="00422E02">
        <w:rPr>
          <w:color w:val="000000" w:themeColor="text1"/>
          <w:sz w:val="18"/>
        </w:rPr>
        <w:t> : optimiser l</w:t>
      </w:r>
      <w:r w:rsidR="00422E02" w:rsidRPr="00422E02">
        <w:rPr>
          <w:color w:val="000000" w:themeColor="text1"/>
          <w:sz w:val="18"/>
        </w:rPr>
        <w:t>’</w:t>
      </w:r>
      <w:r w:rsidRPr="00422E02">
        <w:rPr>
          <w:color w:val="000000" w:themeColor="text1"/>
          <w:sz w:val="18"/>
        </w:rPr>
        <w:t>échelle, la vitesse, les impacts et la responsabilité des réponses globales des communautés affectées par les catastrophes face à des crises soudaines et prolongées. Allié spécifique, les objectifs immédiats de l</w:t>
      </w:r>
      <w:r w:rsidR="00422E02" w:rsidRPr="00422E02">
        <w:rPr>
          <w:color w:val="000000" w:themeColor="text1"/>
          <w:sz w:val="18"/>
        </w:rPr>
        <w:t>’</w:t>
      </w:r>
      <w:r w:rsidRPr="00422E02">
        <w:rPr>
          <w:color w:val="000000" w:themeColor="text1"/>
          <w:sz w:val="18"/>
        </w:rPr>
        <w:t>approche SCLR sont d</w:t>
      </w:r>
      <w:r w:rsidR="00422E02" w:rsidRPr="00422E02">
        <w:rPr>
          <w:color w:val="000000" w:themeColor="text1"/>
          <w:sz w:val="18"/>
        </w:rPr>
        <w:t>’</w:t>
      </w:r>
      <w:r w:rsidRPr="00422E02">
        <w:rPr>
          <w:color w:val="000000" w:themeColor="text1"/>
          <w:sz w:val="18"/>
        </w:rPr>
        <w:t>augmenter :</w:t>
      </w:r>
      <w:r w:rsidRPr="00422E02">
        <w:t xml:space="preserve"> </w:t>
      </w:r>
    </w:p>
    <w:p w:rsidR="00B16254" w:rsidRPr="00422E02" w:rsidRDefault="00B16254" w:rsidP="002B34EF">
      <w:pPr>
        <w:numPr>
          <w:ilvl w:val="0"/>
          <w:numId w:val="4"/>
        </w:numPr>
        <w:spacing w:line="240" w:lineRule="auto"/>
        <w:rPr>
          <w:color w:val="000000" w:themeColor="text1"/>
          <w:sz w:val="18"/>
        </w:rPr>
        <w:sectPr w:rsidR="00B16254" w:rsidRPr="00422E02" w:rsidSect="004D02D5">
          <w:pgSz w:w="11906" w:h="16838"/>
          <w:pgMar w:top="990" w:right="926" w:bottom="810" w:left="990" w:header="708" w:footer="708" w:gutter="0"/>
          <w:cols w:space="708"/>
          <w:docGrid w:linePitch="272"/>
        </w:sectPr>
      </w:pP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lastRenderedPageBreak/>
        <w:t>la réactivité et l</w:t>
      </w:r>
      <w:r w:rsidR="00422E02" w:rsidRPr="00422E02">
        <w:rPr>
          <w:color w:val="000000" w:themeColor="text1"/>
          <w:sz w:val="18"/>
        </w:rPr>
        <w:t>’</w:t>
      </w:r>
      <w:r w:rsidRPr="00422E02">
        <w:rPr>
          <w:color w:val="000000" w:themeColor="text1"/>
          <w:sz w:val="18"/>
        </w:rPr>
        <w:t>efficacité</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la vitesse</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 xml:space="preserve">la rentabilité </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la couverture et l</w:t>
      </w:r>
      <w:r w:rsidR="00422E02" w:rsidRPr="00422E02">
        <w:rPr>
          <w:color w:val="000000" w:themeColor="text1"/>
          <w:sz w:val="18"/>
        </w:rPr>
        <w:t>’</w:t>
      </w:r>
      <w:r w:rsidRPr="00422E02">
        <w:rPr>
          <w:color w:val="000000" w:themeColor="text1"/>
          <w:sz w:val="18"/>
        </w:rPr>
        <w:t xml:space="preserve">échelle </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l</w:t>
      </w:r>
      <w:r w:rsidR="00422E02" w:rsidRPr="00422E02">
        <w:rPr>
          <w:color w:val="000000" w:themeColor="text1"/>
          <w:sz w:val="18"/>
        </w:rPr>
        <w:t>’</w:t>
      </w:r>
      <w:r w:rsidRPr="00422E02">
        <w:rPr>
          <w:color w:val="000000" w:themeColor="text1"/>
          <w:sz w:val="18"/>
        </w:rPr>
        <w:t xml:space="preserve">impact psychosocial positif </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 xml:space="preserve">la résilience à plus long terme (générer une société civile active et un gouvernement local) </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une méthode globale qui transcende les cloisonnements inutiles entre la protection en cas d</w:t>
      </w:r>
      <w:r w:rsidR="00422E02" w:rsidRPr="00422E02">
        <w:rPr>
          <w:color w:val="000000" w:themeColor="text1"/>
          <w:sz w:val="18"/>
        </w:rPr>
        <w:t>’</w:t>
      </w:r>
      <w:r w:rsidRPr="00422E02">
        <w:rPr>
          <w:color w:val="000000" w:themeColor="text1"/>
          <w:sz w:val="18"/>
        </w:rPr>
        <w:t xml:space="preserve">urgence et le développement des droits </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lastRenderedPageBreak/>
        <w:t>de nouvelles opportunités pour mieux reconstruire...</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...et commencer à s</w:t>
      </w:r>
      <w:r w:rsidR="00422E02" w:rsidRPr="00422E02">
        <w:rPr>
          <w:color w:val="000000" w:themeColor="text1"/>
          <w:sz w:val="18"/>
        </w:rPr>
        <w:t>’</w:t>
      </w:r>
      <w:r w:rsidRPr="00422E02">
        <w:rPr>
          <w:color w:val="000000" w:themeColor="text1"/>
          <w:sz w:val="18"/>
        </w:rPr>
        <w:t>attaquer aux causes profondes</w:t>
      </w:r>
    </w:p>
    <w:p w:rsidR="00B16254" w:rsidRPr="00422E02" w:rsidRDefault="00EE06AE" w:rsidP="002B34EF">
      <w:pPr>
        <w:numPr>
          <w:ilvl w:val="0"/>
          <w:numId w:val="4"/>
        </w:numPr>
        <w:spacing w:line="240" w:lineRule="auto"/>
        <w:rPr>
          <w:color w:val="000000" w:themeColor="text1"/>
          <w:sz w:val="18"/>
        </w:rPr>
      </w:pPr>
      <w:r w:rsidRPr="00422E02">
        <w:rPr>
          <w:color w:val="000000" w:themeColor="text1"/>
          <w:sz w:val="18"/>
        </w:rPr>
        <w:t>changer les relations entre les acteurs internationaux et nationaux et contribuer à une architecture de l</w:t>
      </w:r>
      <w:r w:rsidR="00422E02" w:rsidRPr="00422E02">
        <w:rPr>
          <w:color w:val="000000" w:themeColor="text1"/>
          <w:sz w:val="18"/>
        </w:rPr>
        <w:t>’</w:t>
      </w:r>
      <w:r w:rsidRPr="00422E02">
        <w:rPr>
          <w:color w:val="000000" w:themeColor="text1"/>
          <w:sz w:val="18"/>
        </w:rPr>
        <w:t>aide plus saine pour répondre aux besoins</w:t>
      </w:r>
    </w:p>
    <w:p w:rsidR="00B16254" w:rsidRPr="00422E02" w:rsidRDefault="00B16254" w:rsidP="002B34EF">
      <w:pPr>
        <w:spacing w:line="240" w:lineRule="auto"/>
        <w:ind w:left="360"/>
        <w:rPr>
          <w:color w:val="000000" w:themeColor="text1"/>
          <w:sz w:val="18"/>
        </w:rPr>
        <w:sectPr w:rsidR="00B16254" w:rsidRPr="00422E02" w:rsidSect="00D322C5">
          <w:type w:val="continuous"/>
          <w:pgSz w:w="11906" w:h="16838"/>
          <w:pgMar w:top="990" w:right="926" w:bottom="810" w:left="990" w:header="708" w:footer="708" w:gutter="0"/>
          <w:cols w:num="2" w:space="708"/>
          <w:docGrid w:linePitch="272"/>
        </w:sectPr>
      </w:pPr>
    </w:p>
    <w:p w:rsidR="00B16254" w:rsidRPr="00422E02" w:rsidRDefault="00B16254" w:rsidP="002B34EF">
      <w:pPr>
        <w:spacing w:line="240" w:lineRule="auto"/>
        <w:ind w:left="360"/>
        <w:rPr>
          <w:color w:val="000000" w:themeColor="text1"/>
          <w:sz w:val="18"/>
        </w:rPr>
      </w:pPr>
    </w:p>
    <w:p w:rsidR="00B16254" w:rsidRPr="00422E02" w:rsidRDefault="00EE06AE" w:rsidP="002B34EF">
      <w:pPr>
        <w:pBdr>
          <w:top w:val="single" w:sz="4" w:space="1" w:color="auto"/>
          <w:left w:val="single" w:sz="4" w:space="4" w:color="auto"/>
          <w:bottom w:val="single" w:sz="4" w:space="1" w:color="auto"/>
          <w:right w:val="single" w:sz="4" w:space="4" w:color="auto"/>
        </w:pBdr>
        <w:shd w:val="clear" w:color="auto" w:fill="FDE9D9" w:themeFill="accent6" w:themeFillTint="33"/>
        <w:rPr>
          <w:b/>
          <w:color w:val="000000" w:themeColor="text1"/>
          <w:sz w:val="18"/>
          <w:u w:val="single"/>
        </w:rPr>
      </w:pPr>
      <w:r w:rsidRPr="00422E02">
        <w:rPr>
          <w:b/>
          <w:color w:val="000000" w:themeColor="text1"/>
          <w:sz w:val="18"/>
          <w:u w:val="single"/>
        </w:rPr>
        <w:t>Aperçu des principaux éléments d</w:t>
      </w:r>
      <w:r w:rsidR="00422E02" w:rsidRPr="00422E02">
        <w:rPr>
          <w:b/>
          <w:color w:val="000000" w:themeColor="text1"/>
          <w:sz w:val="18"/>
          <w:u w:val="single"/>
        </w:rPr>
        <w:t>’</w:t>
      </w:r>
      <w:r w:rsidRPr="00422E02">
        <w:rPr>
          <w:b/>
          <w:color w:val="000000" w:themeColor="text1"/>
          <w:sz w:val="18"/>
          <w:u w:val="single"/>
        </w:rPr>
        <w:t>une nouvelle méthodologie SCLR identifiés à ce jour</w:t>
      </w:r>
    </w:p>
    <w:p w:rsidR="00B16254" w:rsidRPr="00422E02" w:rsidRDefault="00B16254" w:rsidP="002B34EF">
      <w:pPr>
        <w:pBdr>
          <w:top w:val="single" w:sz="4" w:space="1" w:color="auto"/>
          <w:left w:val="single" w:sz="4" w:space="4" w:color="auto"/>
          <w:bottom w:val="single" w:sz="4" w:space="1" w:color="auto"/>
          <w:right w:val="single" w:sz="4" w:space="4" w:color="auto"/>
        </w:pBdr>
        <w:shd w:val="clear" w:color="auto" w:fill="FDE9D9" w:themeFill="accent6" w:themeFillTint="33"/>
        <w:rPr>
          <w:b/>
          <w:color w:val="000000" w:themeColor="text1"/>
          <w:sz w:val="18"/>
        </w:rPr>
      </w:pP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line="276" w:lineRule="auto"/>
        <w:ind w:left="360"/>
        <w:rPr>
          <w:color w:val="000000" w:themeColor="text1"/>
          <w:sz w:val="18"/>
        </w:rPr>
      </w:pPr>
      <w:r w:rsidRPr="00422E02">
        <w:rPr>
          <w:color w:val="000000" w:themeColor="text1"/>
          <w:sz w:val="18"/>
        </w:rPr>
        <w:t>Permettre aux communautés affectées par une catastrophe d</w:t>
      </w:r>
      <w:r w:rsidR="00422E02" w:rsidRPr="00422E02">
        <w:rPr>
          <w:color w:val="000000" w:themeColor="text1"/>
          <w:sz w:val="18"/>
        </w:rPr>
        <w:t>’</w:t>
      </w:r>
      <w:r w:rsidRPr="00422E02">
        <w:rPr>
          <w:color w:val="000000" w:themeColor="text1"/>
          <w:sz w:val="18"/>
        </w:rPr>
        <w:t xml:space="preserve">entreprendre leur propre </w:t>
      </w:r>
      <w:r w:rsidRPr="00422E02">
        <w:rPr>
          <w:b/>
          <w:color w:val="000000" w:themeColor="text1"/>
          <w:sz w:val="18"/>
        </w:rPr>
        <w:t>action d</w:t>
      </w:r>
      <w:r w:rsidR="00422E02" w:rsidRPr="00422E02">
        <w:rPr>
          <w:b/>
          <w:color w:val="000000" w:themeColor="text1"/>
          <w:sz w:val="18"/>
        </w:rPr>
        <w:t>’</w:t>
      </w:r>
      <w:r w:rsidRPr="00422E02">
        <w:rPr>
          <w:b/>
          <w:color w:val="000000" w:themeColor="text1"/>
          <w:sz w:val="18"/>
        </w:rPr>
        <w:t>apprentissage participatif en situation de crise</w:t>
      </w:r>
      <w:r w:rsidRPr="00422E02">
        <w:rPr>
          <w:color w:val="000000" w:themeColor="text1"/>
          <w:sz w:val="18"/>
        </w:rPr>
        <w:t xml:space="preserve"> (PALC) qui associe enquête appréciative, sensibilité genre/âge/conflit, évaluations organisationnelles, ciblage et analyse des lacunes, évaluation d</w:t>
      </w:r>
      <w:r w:rsidR="00422E02" w:rsidRPr="00422E02">
        <w:rPr>
          <w:color w:val="000000" w:themeColor="text1"/>
          <w:sz w:val="18"/>
        </w:rPr>
        <w:t>’</w:t>
      </w:r>
      <w:r w:rsidRPr="00422E02">
        <w:rPr>
          <w:color w:val="000000" w:themeColor="text1"/>
          <w:sz w:val="18"/>
        </w:rPr>
        <w:t>impact et apprentissage. Au sein de la SCLR, cette enquête menée par les survivants peut être considérée comme une approche progressive :</w:t>
      </w:r>
    </w:p>
    <w:p w:rsidR="00B16254" w:rsidRPr="00422E02" w:rsidRDefault="00EE06AE" w:rsidP="002B34EF">
      <w:pPr>
        <w:pBdr>
          <w:top w:val="single" w:sz="4" w:space="1" w:color="auto"/>
          <w:left w:val="single" w:sz="4" w:space="4" w:color="auto"/>
          <w:bottom w:val="single" w:sz="4" w:space="1" w:color="auto"/>
          <w:right w:val="single" w:sz="4" w:space="4" w:color="auto"/>
        </w:pBdr>
        <w:shd w:val="clear" w:color="auto" w:fill="FDE9D9" w:themeFill="accent6" w:themeFillTint="33"/>
        <w:ind w:left="630" w:hanging="630"/>
        <w:rPr>
          <w:color w:val="000000" w:themeColor="text1"/>
          <w:sz w:val="18"/>
        </w:rPr>
      </w:pPr>
      <w:r w:rsidRPr="00422E02">
        <w:rPr>
          <w:color w:val="000000" w:themeColor="text1"/>
          <w:sz w:val="18"/>
        </w:rPr>
        <w:t xml:space="preserve">        i. une enquête d</w:t>
      </w:r>
      <w:r w:rsidR="00422E02" w:rsidRPr="00422E02">
        <w:rPr>
          <w:color w:val="000000" w:themeColor="text1"/>
          <w:sz w:val="18"/>
        </w:rPr>
        <w:t>’</w:t>
      </w:r>
      <w:r w:rsidRPr="00422E02">
        <w:rPr>
          <w:color w:val="000000" w:themeColor="text1"/>
          <w:sz w:val="18"/>
        </w:rPr>
        <w:t>appréciation initiale urgente (avec des heures d</w:t>
      </w:r>
      <w:r w:rsidR="00422E02" w:rsidRPr="00422E02">
        <w:rPr>
          <w:color w:val="000000" w:themeColor="text1"/>
          <w:sz w:val="18"/>
        </w:rPr>
        <w:t>’</w:t>
      </w:r>
      <w:r w:rsidRPr="00422E02">
        <w:rPr>
          <w:color w:val="000000" w:themeColor="text1"/>
          <w:sz w:val="18"/>
        </w:rPr>
        <w:t>attente après la catastrophe) qui génère rapidement des micro-propositions à partir de groupes d</w:t>
      </w:r>
      <w:r w:rsidR="00422E02" w:rsidRPr="00422E02">
        <w:rPr>
          <w:color w:val="000000" w:themeColor="text1"/>
          <w:sz w:val="18"/>
        </w:rPr>
        <w:t>’</w:t>
      </w:r>
      <w:r w:rsidRPr="00422E02">
        <w:rPr>
          <w:color w:val="000000" w:themeColor="text1"/>
          <w:sz w:val="18"/>
        </w:rPr>
        <w:t>entraide émergents (ou existants) pour une mise à l</w:t>
      </w:r>
      <w:r w:rsidR="00422E02" w:rsidRPr="00422E02">
        <w:rPr>
          <w:color w:val="000000" w:themeColor="text1"/>
          <w:sz w:val="18"/>
        </w:rPr>
        <w:t>’</w:t>
      </w:r>
      <w:r w:rsidRPr="00422E02">
        <w:rPr>
          <w:color w:val="000000" w:themeColor="text1"/>
          <w:sz w:val="18"/>
        </w:rPr>
        <w:t>échelle et une réponse immédiate ;</w:t>
      </w:r>
    </w:p>
    <w:p w:rsidR="00B16254" w:rsidRPr="00422E02" w:rsidRDefault="00EE06AE" w:rsidP="002B34EF">
      <w:pPr>
        <w:pBdr>
          <w:top w:val="single" w:sz="4" w:space="1" w:color="auto"/>
          <w:left w:val="single" w:sz="4" w:space="4" w:color="auto"/>
          <w:bottom w:val="single" w:sz="4" w:space="1" w:color="auto"/>
          <w:right w:val="single" w:sz="4" w:space="4" w:color="auto"/>
        </w:pBdr>
        <w:shd w:val="clear" w:color="auto" w:fill="FDE9D9" w:themeFill="accent6" w:themeFillTint="33"/>
        <w:ind w:left="630" w:hanging="630"/>
        <w:rPr>
          <w:color w:val="000000" w:themeColor="text1"/>
          <w:sz w:val="18"/>
        </w:rPr>
      </w:pPr>
      <w:r w:rsidRPr="00422E02">
        <w:rPr>
          <w:color w:val="000000" w:themeColor="text1"/>
          <w:sz w:val="18"/>
        </w:rPr>
        <w:t xml:space="preserve">        ii.   Une phase ultérieure (de plusieurs jours) qui commence à inclure le suivi des réponses immédiates et se combine avec des évaluations plus larges des opportunités, l</w:t>
      </w:r>
      <w:r w:rsidR="00422E02" w:rsidRPr="00422E02">
        <w:rPr>
          <w:color w:val="000000" w:themeColor="text1"/>
          <w:sz w:val="18"/>
        </w:rPr>
        <w:t>’</w:t>
      </w:r>
      <w:r w:rsidRPr="00422E02">
        <w:rPr>
          <w:color w:val="000000" w:themeColor="text1"/>
          <w:sz w:val="18"/>
        </w:rPr>
        <w:t>analyse des lacunes, les compétences/capacités, le ciblage, le genre/âge/race, etc., les systèmes de suivi, la responsabilité, les questions et relations de pouvoir, la sensibilité aux conflits, les actions nuisibles, la coordination (locale, nationale, internationale) et un partage plus large des informations ;</w:t>
      </w:r>
    </w:p>
    <w:p w:rsidR="00B16254" w:rsidRPr="00422E02" w:rsidRDefault="00EE06AE" w:rsidP="002B34EF">
      <w:pPr>
        <w:pBdr>
          <w:top w:val="single" w:sz="4" w:space="1" w:color="auto"/>
          <w:left w:val="single" w:sz="4" w:space="4" w:color="auto"/>
          <w:bottom w:val="single" w:sz="4" w:space="1" w:color="auto"/>
          <w:right w:val="single" w:sz="4" w:space="4" w:color="auto"/>
        </w:pBdr>
        <w:shd w:val="clear" w:color="auto" w:fill="FDE9D9" w:themeFill="accent6" w:themeFillTint="33"/>
        <w:ind w:left="630" w:hanging="630"/>
        <w:rPr>
          <w:color w:val="000000" w:themeColor="text1"/>
          <w:sz w:val="18"/>
        </w:rPr>
      </w:pPr>
      <w:r w:rsidRPr="00422E02">
        <w:rPr>
          <w:color w:val="000000" w:themeColor="text1"/>
          <w:sz w:val="18"/>
        </w:rPr>
        <w:t xml:space="preserve">       iii.  Une phase de redressement à plus long terme (quelques semaines ou quelques mois, selon l</w:t>
      </w:r>
      <w:r w:rsidR="00422E02" w:rsidRPr="00422E02">
        <w:rPr>
          <w:color w:val="000000" w:themeColor="text1"/>
          <w:sz w:val="18"/>
        </w:rPr>
        <w:t>’</w:t>
      </w:r>
      <w:r w:rsidRPr="00422E02">
        <w:rPr>
          <w:color w:val="000000" w:themeColor="text1"/>
          <w:sz w:val="18"/>
        </w:rPr>
        <w:t>ampleur de la catastrophe) qui met l</w:t>
      </w:r>
      <w:r w:rsidR="00422E02" w:rsidRPr="00422E02">
        <w:rPr>
          <w:color w:val="000000" w:themeColor="text1"/>
          <w:sz w:val="18"/>
        </w:rPr>
        <w:t>’</w:t>
      </w:r>
      <w:r w:rsidRPr="00422E02">
        <w:rPr>
          <w:color w:val="000000" w:themeColor="text1"/>
          <w:sz w:val="18"/>
        </w:rPr>
        <w:t>accent sur la réflexion, reconstitue et renforce les liens entre les acteurs en première ligne et les institutions externes concernées (qu</w:t>
      </w:r>
      <w:r w:rsidR="00422E02" w:rsidRPr="00422E02">
        <w:rPr>
          <w:color w:val="000000" w:themeColor="text1"/>
          <w:sz w:val="18"/>
        </w:rPr>
        <w:t>’</w:t>
      </w:r>
      <w:r w:rsidRPr="00422E02">
        <w:rPr>
          <w:color w:val="000000" w:themeColor="text1"/>
          <w:sz w:val="18"/>
        </w:rPr>
        <w:t>il s</w:t>
      </w:r>
      <w:r w:rsidR="00422E02" w:rsidRPr="00422E02">
        <w:rPr>
          <w:color w:val="000000" w:themeColor="text1"/>
          <w:sz w:val="18"/>
        </w:rPr>
        <w:t>’</w:t>
      </w:r>
      <w:r w:rsidRPr="00422E02">
        <w:rPr>
          <w:color w:val="000000" w:themeColor="text1"/>
          <w:sz w:val="18"/>
        </w:rPr>
        <w:t>agisse du gouvernement, du secteur privé ou de la société civile).</w:t>
      </w:r>
    </w:p>
    <w:p w:rsidR="00B16254" w:rsidRPr="00422E02" w:rsidRDefault="00EE06AE" w:rsidP="002B34EF">
      <w:pPr>
        <w:pBdr>
          <w:top w:val="single" w:sz="4" w:space="1" w:color="auto"/>
          <w:left w:val="single" w:sz="4" w:space="4" w:color="auto"/>
          <w:bottom w:val="single" w:sz="4" w:space="1" w:color="auto"/>
          <w:right w:val="single" w:sz="4" w:space="4" w:color="auto"/>
        </w:pBdr>
        <w:shd w:val="clear" w:color="auto" w:fill="FDE9D9" w:themeFill="accent6" w:themeFillTint="33"/>
        <w:ind w:left="360" w:hanging="360"/>
        <w:rPr>
          <w:color w:val="000000" w:themeColor="text1"/>
          <w:sz w:val="18"/>
        </w:rPr>
      </w:pPr>
      <w:r w:rsidRPr="00422E02">
        <w:rPr>
          <w:color w:val="000000" w:themeColor="text1"/>
          <w:sz w:val="18"/>
        </w:rPr>
        <w:t xml:space="preserve">       Ce processus cumulatif d</w:t>
      </w:r>
      <w:r w:rsidR="00422E02" w:rsidRPr="00422E02">
        <w:rPr>
          <w:color w:val="000000" w:themeColor="text1"/>
          <w:sz w:val="18"/>
        </w:rPr>
        <w:t>’</w:t>
      </w:r>
      <w:r w:rsidRPr="00422E02">
        <w:rPr>
          <w:color w:val="000000" w:themeColor="text1"/>
          <w:sz w:val="18"/>
        </w:rPr>
        <w:t>évaluation, de suivi et d</w:t>
      </w:r>
      <w:r w:rsidR="00422E02" w:rsidRPr="00422E02">
        <w:rPr>
          <w:color w:val="000000" w:themeColor="text1"/>
          <w:sz w:val="18"/>
        </w:rPr>
        <w:t>’</w:t>
      </w:r>
      <w:r w:rsidRPr="00422E02">
        <w:rPr>
          <w:color w:val="000000" w:themeColor="text1"/>
          <w:sz w:val="18"/>
        </w:rPr>
        <w:t>apprentissage est considéré comme un processus continu critique qui identifie les priorités, oriente les interventions, reconnaît les lacunes, enregistre et utilise les enseignements tirés de la pratique pour continuer à améliorer la réponse dans son ensemble.</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t xml:space="preserve">Le processus PALC est lié au lancement immédiat de systèmes de </w:t>
      </w:r>
      <w:r w:rsidRPr="00422E02">
        <w:rPr>
          <w:b/>
          <w:color w:val="000000" w:themeColor="text1"/>
          <w:sz w:val="18"/>
        </w:rPr>
        <w:t xml:space="preserve">décaissement rapide sous forme de microfinancements </w:t>
      </w:r>
      <w:r w:rsidRPr="00422E02">
        <w:rPr>
          <w:color w:val="000000" w:themeColor="text1"/>
          <w:sz w:val="18"/>
        </w:rPr>
        <w:t>(en espèces ou en nature si nécessaire) permettant aux groupes d</w:t>
      </w:r>
      <w:r w:rsidR="00422E02" w:rsidRPr="00422E02">
        <w:rPr>
          <w:color w:val="000000" w:themeColor="text1"/>
          <w:sz w:val="18"/>
        </w:rPr>
        <w:t>’</w:t>
      </w:r>
      <w:r w:rsidRPr="00422E02">
        <w:rPr>
          <w:color w:val="000000" w:themeColor="text1"/>
          <w:sz w:val="18"/>
        </w:rPr>
        <w:t>entraide de commencer immédiatement à mettre en œuvre leurs propres projets d</w:t>
      </w:r>
      <w:r w:rsidR="00422E02" w:rsidRPr="00422E02">
        <w:rPr>
          <w:color w:val="000000" w:themeColor="text1"/>
          <w:sz w:val="18"/>
        </w:rPr>
        <w:t>’</w:t>
      </w:r>
      <w:r w:rsidRPr="00422E02">
        <w:rPr>
          <w:color w:val="000000" w:themeColor="text1"/>
          <w:sz w:val="18"/>
        </w:rPr>
        <w:t>intervention d</w:t>
      </w:r>
      <w:r w:rsidR="00422E02" w:rsidRPr="00422E02">
        <w:rPr>
          <w:color w:val="000000" w:themeColor="text1"/>
          <w:sz w:val="18"/>
        </w:rPr>
        <w:t>’</w:t>
      </w:r>
      <w:r w:rsidRPr="00422E02">
        <w:rPr>
          <w:color w:val="000000" w:themeColor="text1"/>
          <w:sz w:val="18"/>
        </w:rPr>
        <w:t>urgence. Ces systèmes doivent permettre le versement des subventions à grande échelle et à un rythme qui sauve des vies, tout en maintenant la responsabilité et les contrôles et contrepoids pertinents (liés au sexe, à l</w:t>
      </w:r>
      <w:r w:rsidR="00422E02" w:rsidRPr="00422E02">
        <w:rPr>
          <w:color w:val="000000" w:themeColor="text1"/>
          <w:sz w:val="18"/>
        </w:rPr>
        <w:t>’</w:t>
      </w:r>
      <w:r w:rsidRPr="00422E02">
        <w:rPr>
          <w:color w:val="000000" w:themeColor="text1"/>
          <w:sz w:val="18"/>
        </w:rPr>
        <w:t>âge, aux conflits, à la dynamique politique ou à d</w:t>
      </w:r>
      <w:r w:rsidR="00422E02" w:rsidRPr="00422E02">
        <w:rPr>
          <w:color w:val="000000" w:themeColor="text1"/>
          <w:sz w:val="18"/>
        </w:rPr>
        <w:t>’</w:t>
      </w:r>
      <w:r w:rsidRPr="00422E02">
        <w:rPr>
          <w:color w:val="000000" w:themeColor="text1"/>
          <w:sz w:val="18"/>
        </w:rPr>
        <w:t>autres paramètres contextuels).</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t>Parallèlement à l</w:t>
      </w:r>
      <w:r w:rsidR="00422E02" w:rsidRPr="00422E02">
        <w:rPr>
          <w:color w:val="000000" w:themeColor="text1"/>
          <w:sz w:val="18"/>
        </w:rPr>
        <w:t>’</w:t>
      </w:r>
      <w:r w:rsidRPr="00422E02">
        <w:rPr>
          <w:color w:val="000000" w:themeColor="text1"/>
          <w:sz w:val="18"/>
        </w:rPr>
        <w:t>introduction d</w:t>
      </w:r>
      <w:r w:rsidR="00422E02" w:rsidRPr="00422E02">
        <w:rPr>
          <w:color w:val="000000" w:themeColor="text1"/>
          <w:sz w:val="18"/>
        </w:rPr>
        <w:t>’</w:t>
      </w:r>
      <w:r w:rsidRPr="00422E02">
        <w:rPr>
          <w:color w:val="000000" w:themeColor="text1"/>
          <w:sz w:val="18"/>
        </w:rPr>
        <w:t>options de microfinancements pour accélérer l</w:t>
      </w:r>
      <w:r w:rsidR="00422E02" w:rsidRPr="00422E02">
        <w:rPr>
          <w:color w:val="000000" w:themeColor="text1"/>
          <w:sz w:val="18"/>
        </w:rPr>
        <w:t>’</w:t>
      </w:r>
      <w:r w:rsidRPr="00422E02">
        <w:rPr>
          <w:color w:val="000000" w:themeColor="text1"/>
          <w:sz w:val="18"/>
        </w:rPr>
        <w:t>auto-assistance, une méthodologie semi-structurée est facilitée pour promouvoir l</w:t>
      </w:r>
      <w:r w:rsidR="00422E02" w:rsidRPr="00422E02">
        <w:rPr>
          <w:color w:val="000000" w:themeColor="text1"/>
          <w:sz w:val="18"/>
        </w:rPr>
        <w:t>’</w:t>
      </w:r>
      <w:r w:rsidRPr="00422E02">
        <w:rPr>
          <w:b/>
          <w:color w:val="000000" w:themeColor="text1"/>
          <w:sz w:val="18"/>
        </w:rPr>
        <w:t>auto-protection communautaire</w:t>
      </w:r>
      <w:r w:rsidRPr="00422E02">
        <w:rPr>
          <w:color w:val="000000" w:themeColor="text1"/>
          <w:sz w:val="18"/>
        </w:rPr>
        <w:t xml:space="preserve">, principalement axée sur le renforcement </w:t>
      </w:r>
      <w:r w:rsidRPr="00422E02">
        <w:rPr>
          <w:b/>
          <w:color w:val="000000" w:themeColor="text1"/>
          <w:sz w:val="18"/>
        </w:rPr>
        <w:t>des aspects psychosociaux de la résilience</w:t>
      </w:r>
      <w:r w:rsidRPr="00422E02">
        <w:rPr>
          <w:color w:val="000000" w:themeColor="text1"/>
          <w:sz w:val="18"/>
        </w:rPr>
        <w:t>, susceptibles d</w:t>
      </w:r>
      <w:r w:rsidR="00422E02" w:rsidRPr="00422E02">
        <w:rPr>
          <w:color w:val="000000" w:themeColor="text1"/>
          <w:sz w:val="18"/>
        </w:rPr>
        <w:t>’</w:t>
      </w:r>
      <w:r w:rsidRPr="00422E02">
        <w:rPr>
          <w:color w:val="000000" w:themeColor="text1"/>
          <w:sz w:val="18"/>
        </w:rPr>
        <w:t>accroître les chances des communautés affectées par la crise non seulement de survivre, mais aussi de sortir plus fortes, plus sages, plus unies et plus sensibles au genre et à l</w:t>
      </w:r>
      <w:r w:rsidR="00422E02" w:rsidRPr="00422E02">
        <w:rPr>
          <w:color w:val="000000" w:themeColor="text1"/>
          <w:sz w:val="18"/>
        </w:rPr>
        <w:t>’</w:t>
      </w:r>
      <w:r w:rsidRPr="00422E02">
        <w:rPr>
          <w:color w:val="000000" w:themeColor="text1"/>
          <w:sz w:val="18"/>
        </w:rPr>
        <w:t>âge qu</w:t>
      </w:r>
      <w:r w:rsidR="00422E02" w:rsidRPr="00422E02">
        <w:rPr>
          <w:color w:val="000000" w:themeColor="text1"/>
          <w:sz w:val="18"/>
        </w:rPr>
        <w:t>’</w:t>
      </w:r>
      <w:r w:rsidRPr="00422E02">
        <w:rPr>
          <w:color w:val="000000" w:themeColor="text1"/>
          <w:sz w:val="18"/>
        </w:rPr>
        <w:t>auparavant.</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t>Développer les lignes directrices et les systèmes qui guident l</w:t>
      </w:r>
      <w:r w:rsidR="00422E02" w:rsidRPr="00422E02">
        <w:rPr>
          <w:color w:val="000000" w:themeColor="text1"/>
          <w:sz w:val="18"/>
        </w:rPr>
        <w:t>’</w:t>
      </w:r>
      <w:r w:rsidRPr="00422E02">
        <w:rPr>
          <w:b/>
          <w:color w:val="000000" w:themeColor="text1"/>
          <w:sz w:val="18"/>
        </w:rPr>
        <w:t>introduction possible des transferts monétaires aux ménages</w:t>
      </w:r>
      <w:r w:rsidRPr="00422E02">
        <w:rPr>
          <w:color w:val="000000" w:themeColor="text1"/>
          <w:sz w:val="18"/>
        </w:rPr>
        <w:t xml:space="preserve"> alors que la nature des subventions communautaires passe de la survie du groupe à la réhabilitation. </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t xml:space="preserve">Mise en place de </w:t>
      </w:r>
      <w:r w:rsidRPr="00422E02">
        <w:rPr>
          <w:b/>
          <w:color w:val="000000" w:themeColor="text1"/>
          <w:sz w:val="18"/>
        </w:rPr>
        <w:t>services de coordination</w:t>
      </w:r>
      <w:r w:rsidRPr="00422E02">
        <w:rPr>
          <w:color w:val="000000" w:themeColor="text1"/>
          <w:sz w:val="18"/>
        </w:rPr>
        <w:t xml:space="preserve"> </w:t>
      </w:r>
      <w:r w:rsidRPr="00422E02">
        <w:rPr>
          <w:b/>
          <w:color w:val="000000" w:themeColor="text1"/>
          <w:sz w:val="18"/>
        </w:rPr>
        <w:t>axés sur la demande</w:t>
      </w:r>
      <w:r w:rsidRPr="00422E02">
        <w:rPr>
          <w:color w:val="000000" w:themeColor="text1"/>
          <w:sz w:val="18"/>
        </w:rPr>
        <w:t xml:space="preserve"> qui sont pertinents pour les acteurs locaux et utilisés activement par eux, et qui, le cas échéant, assurent également une surveillance tenant compte des conflits et ne portant pas atteinte à la santé.</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t xml:space="preserve">Mise en place de </w:t>
      </w:r>
      <w:r w:rsidRPr="00422E02">
        <w:rPr>
          <w:b/>
          <w:color w:val="000000" w:themeColor="text1"/>
          <w:sz w:val="18"/>
        </w:rPr>
        <w:t>services de mise à niveau des compétences</w:t>
      </w:r>
      <w:r w:rsidRPr="00422E02">
        <w:rPr>
          <w:color w:val="000000" w:themeColor="text1"/>
          <w:sz w:val="18"/>
        </w:rPr>
        <w:t xml:space="preserve"> axés sur la demande permettant de dispenser une formation et un encadrement rapides et pratiques, adaptés aux besoins locaux.  </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lastRenderedPageBreak/>
        <w:t>Fourniture d</w:t>
      </w:r>
      <w:r w:rsidR="00422E02" w:rsidRPr="00422E02">
        <w:rPr>
          <w:color w:val="000000" w:themeColor="text1"/>
          <w:sz w:val="18"/>
        </w:rPr>
        <w:t>’</w:t>
      </w:r>
      <w:r w:rsidRPr="00422E02">
        <w:rPr>
          <w:color w:val="000000" w:themeColor="text1"/>
          <w:sz w:val="18"/>
        </w:rPr>
        <w:t xml:space="preserve">un </w:t>
      </w:r>
      <w:r w:rsidRPr="00422E02">
        <w:rPr>
          <w:b/>
          <w:color w:val="000000" w:themeColor="text1"/>
          <w:sz w:val="18"/>
        </w:rPr>
        <w:t>développement organisationnel (DO) d</w:t>
      </w:r>
      <w:r w:rsidR="00422E02" w:rsidRPr="00422E02">
        <w:rPr>
          <w:b/>
          <w:color w:val="000000" w:themeColor="text1"/>
          <w:sz w:val="18"/>
        </w:rPr>
        <w:t>’</w:t>
      </w:r>
      <w:r w:rsidRPr="00422E02">
        <w:rPr>
          <w:b/>
          <w:color w:val="000000" w:themeColor="text1"/>
          <w:sz w:val="18"/>
        </w:rPr>
        <w:t>urgence</w:t>
      </w:r>
      <w:r w:rsidRPr="00422E02">
        <w:rPr>
          <w:color w:val="000000" w:themeColor="text1"/>
          <w:sz w:val="18"/>
        </w:rPr>
        <w:t xml:space="preserve"> qui peut permettre aux fournisseurs de services locaux de gérer certaines des conséquences d</w:t>
      </w:r>
      <w:r w:rsidR="00422E02" w:rsidRPr="00422E02">
        <w:rPr>
          <w:color w:val="000000" w:themeColor="text1"/>
          <w:sz w:val="18"/>
        </w:rPr>
        <w:t>’</w:t>
      </w:r>
      <w:r w:rsidRPr="00422E02">
        <w:rPr>
          <w:color w:val="000000" w:themeColor="text1"/>
          <w:sz w:val="18"/>
        </w:rPr>
        <w:t>une augmentation rapide de l</w:t>
      </w:r>
      <w:r w:rsidR="00422E02" w:rsidRPr="00422E02">
        <w:rPr>
          <w:color w:val="000000" w:themeColor="text1"/>
          <w:sz w:val="18"/>
        </w:rPr>
        <w:t>’</w:t>
      </w:r>
      <w:r w:rsidRPr="00422E02">
        <w:rPr>
          <w:color w:val="000000" w:themeColor="text1"/>
          <w:sz w:val="18"/>
        </w:rPr>
        <w:t>ampleur des activités et de la taille des budgets d</w:t>
      </w:r>
      <w:r w:rsidR="00422E02" w:rsidRPr="00422E02">
        <w:rPr>
          <w:color w:val="000000" w:themeColor="text1"/>
          <w:sz w:val="18"/>
        </w:rPr>
        <w:t>’</w:t>
      </w:r>
      <w:r w:rsidRPr="00422E02">
        <w:rPr>
          <w:color w:val="000000" w:themeColor="text1"/>
          <w:sz w:val="18"/>
        </w:rPr>
        <w:t xml:space="preserve">exploitation. </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t>Formation d</w:t>
      </w:r>
      <w:r w:rsidR="00422E02" w:rsidRPr="00422E02">
        <w:rPr>
          <w:color w:val="000000" w:themeColor="text1"/>
          <w:sz w:val="18"/>
        </w:rPr>
        <w:t>’</w:t>
      </w:r>
      <w:r w:rsidRPr="00422E02">
        <w:rPr>
          <w:b/>
          <w:color w:val="000000" w:themeColor="text1"/>
          <w:sz w:val="18"/>
        </w:rPr>
        <w:t>alliances et de réseaux d</w:t>
      </w:r>
      <w:r w:rsidR="00422E02" w:rsidRPr="00422E02">
        <w:rPr>
          <w:b/>
          <w:color w:val="000000" w:themeColor="text1"/>
          <w:sz w:val="18"/>
        </w:rPr>
        <w:t>’</w:t>
      </w:r>
      <w:r w:rsidRPr="00422E02">
        <w:rPr>
          <w:b/>
          <w:color w:val="000000" w:themeColor="text1"/>
          <w:sz w:val="18"/>
        </w:rPr>
        <w:t xml:space="preserve">urgence </w:t>
      </w:r>
      <w:r w:rsidRPr="00422E02">
        <w:rPr>
          <w:color w:val="000000" w:themeColor="text1"/>
          <w:sz w:val="18"/>
        </w:rPr>
        <w:t>pour renforcer la collecte de fonds, le plaidoyer et la liaison avec une programmation national  internationale plus large.</w:t>
      </w:r>
    </w:p>
    <w:p w:rsidR="00B16254" w:rsidRPr="00422E02" w:rsidRDefault="00EE06AE" w:rsidP="002B34EF">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after="60" w:line="276" w:lineRule="auto"/>
        <w:ind w:left="360"/>
        <w:rPr>
          <w:color w:val="000000" w:themeColor="text1"/>
          <w:sz w:val="18"/>
        </w:rPr>
      </w:pPr>
      <w:r w:rsidRPr="00422E02">
        <w:rPr>
          <w:color w:val="000000" w:themeColor="text1"/>
          <w:sz w:val="18"/>
        </w:rPr>
        <w:t xml:space="preserve">Explorer les </w:t>
      </w:r>
      <w:r w:rsidRPr="00422E02">
        <w:rPr>
          <w:b/>
          <w:color w:val="000000" w:themeColor="text1"/>
          <w:sz w:val="18"/>
        </w:rPr>
        <w:t>implications organisationnelles et institutionnelles</w:t>
      </w:r>
      <w:r w:rsidRPr="00422E02">
        <w:rPr>
          <w:color w:val="000000" w:themeColor="text1"/>
          <w:sz w:val="18"/>
        </w:rPr>
        <w:t xml:space="preserve"> de l</w:t>
      </w:r>
      <w:r w:rsidR="00422E02" w:rsidRPr="00422E02">
        <w:rPr>
          <w:color w:val="000000" w:themeColor="text1"/>
          <w:sz w:val="18"/>
        </w:rPr>
        <w:t>’</w:t>
      </w:r>
      <w:r w:rsidRPr="00422E02">
        <w:rPr>
          <w:color w:val="000000" w:themeColor="text1"/>
          <w:sz w:val="18"/>
        </w:rPr>
        <w:t>adoption d</w:t>
      </w:r>
      <w:r w:rsidR="00422E02" w:rsidRPr="00422E02">
        <w:rPr>
          <w:color w:val="000000" w:themeColor="text1"/>
          <w:sz w:val="18"/>
        </w:rPr>
        <w:t>’</w:t>
      </w:r>
      <w:r w:rsidRPr="00422E02">
        <w:rPr>
          <w:color w:val="000000" w:themeColor="text1"/>
          <w:sz w:val="18"/>
        </w:rPr>
        <w:t>approches SCLR pour les ONGI ou les grandes ONG. Cela pourrait inclure l</w:t>
      </w:r>
      <w:r w:rsidR="00422E02" w:rsidRPr="00422E02">
        <w:rPr>
          <w:color w:val="000000" w:themeColor="text1"/>
          <w:sz w:val="18"/>
        </w:rPr>
        <w:t>’</w:t>
      </w:r>
      <w:r w:rsidRPr="00422E02">
        <w:rPr>
          <w:color w:val="000000" w:themeColor="text1"/>
          <w:sz w:val="18"/>
        </w:rPr>
        <w:t xml:space="preserve">évolution des relations programmatiques et financières, des types de partenariats, des collectes de fonds, des rôles changeants et de nouvelles capacités. </w:t>
      </w:r>
    </w:p>
    <w:p w:rsidR="00B16254" w:rsidRPr="00422E02" w:rsidRDefault="00B16254" w:rsidP="002B34EF"/>
    <w:p w:rsidR="00B16254" w:rsidRPr="00422E02" w:rsidRDefault="00EE06AE" w:rsidP="002B34EF">
      <w:pPr>
        <w:spacing w:after="60"/>
        <w:rPr>
          <w:b/>
        </w:rPr>
      </w:pPr>
      <w:r w:rsidRPr="00422E02">
        <w:rPr>
          <w:b/>
        </w:rPr>
        <w:t>Annexe 2 </w:t>
      </w:r>
      <w:r w:rsidR="00065E3D">
        <w:rPr>
          <w:b/>
        </w:rPr>
        <w:t>- </w:t>
      </w:r>
      <w:r w:rsidRPr="00422E02">
        <w:rPr>
          <w:b/>
        </w:rPr>
        <w:t xml:space="preserve">Liens vers les </w:t>
      </w:r>
      <w:r w:rsidR="00065E3D">
        <w:rPr>
          <w:b/>
        </w:rPr>
        <w:t>lignes directrices</w:t>
      </w:r>
      <w:r w:rsidRPr="00422E02">
        <w:rPr>
          <w:b/>
        </w:rPr>
        <w:t xml:space="preserve"> de la SCLR :</w:t>
      </w:r>
    </w:p>
    <w:p w:rsidR="00B16254" w:rsidRPr="00422E02" w:rsidRDefault="00EE06AE" w:rsidP="002B34EF">
      <w:pPr>
        <w:spacing w:after="60"/>
      </w:pPr>
      <w:r w:rsidRPr="00422E02">
        <w:rPr>
          <w:b/>
        </w:rPr>
        <w:t>1. </w:t>
      </w:r>
      <w:hyperlink r:id="rId9" w:history="1">
        <w:r w:rsidRPr="00422E02">
          <w:rPr>
            <w:rStyle w:val="Hyperlink"/>
            <w:b/>
          </w:rPr>
          <w:t>Lignes directrices de la PALC</w:t>
        </w:r>
      </w:hyperlink>
      <w:r w:rsidRPr="00422E02">
        <w:rPr>
          <w:b/>
        </w:rPr>
        <w:t xml:space="preserve"> : </w:t>
      </w:r>
      <w:r w:rsidRPr="00422E02">
        <w:t>aperçu du processus de la PALC (apprentissage par l</w:t>
      </w:r>
      <w:r w:rsidR="00422E02" w:rsidRPr="00422E02">
        <w:t>’</w:t>
      </w:r>
      <w:r w:rsidRPr="00422E02">
        <w:t>action participative en situation de crise)</w:t>
      </w:r>
    </w:p>
    <w:p w:rsidR="00B16254" w:rsidRPr="00422E02" w:rsidRDefault="00EE06AE" w:rsidP="002B34EF">
      <w:pPr>
        <w:spacing w:after="60"/>
      </w:pPr>
      <w:r w:rsidRPr="00422E02">
        <w:rPr>
          <w:b/>
        </w:rPr>
        <w:t>2. </w:t>
      </w:r>
      <w:hyperlink r:id="rId10" w:history="1">
        <w:r w:rsidRPr="00422E02">
          <w:rPr>
            <w:rStyle w:val="Hyperlink"/>
            <w:b/>
          </w:rPr>
          <w:t>Lignes directrices sur les</w:t>
        </w:r>
      </w:hyperlink>
      <w:r w:rsidRPr="00065E3D">
        <w:rPr>
          <w:rStyle w:val="Hyperlink"/>
        </w:rPr>
        <w:t xml:space="preserve"> </w:t>
      </w:r>
      <w:r w:rsidRPr="00065E3D">
        <w:rPr>
          <w:rStyle w:val="Hyperlink"/>
          <w:b/>
        </w:rPr>
        <w:t>microfinancements</w:t>
      </w:r>
      <w:r w:rsidRPr="00065E3D">
        <w:rPr>
          <w:rStyle w:val="Hyperlink"/>
        </w:rPr>
        <w:t> </w:t>
      </w:r>
      <w:r w:rsidRPr="00422E02">
        <w:rPr>
          <w:b/>
        </w:rPr>
        <w:t xml:space="preserve">: </w:t>
      </w:r>
      <w:r w:rsidRPr="00422E02">
        <w:t>protocoles de microfinancement, processus, formats</w:t>
      </w:r>
    </w:p>
    <w:sectPr w:rsidR="00B16254" w:rsidRPr="00422E02" w:rsidSect="00B16254">
      <w:type w:val="continuous"/>
      <w:pgSz w:w="11906" w:h="16838"/>
      <w:pgMar w:top="990" w:right="926" w:bottom="810" w:left="990" w:header="708" w:footer="708"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2FC" w:rsidRDefault="008852FC">
      <w:pPr>
        <w:spacing w:line="240" w:lineRule="auto"/>
      </w:pPr>
      <w:r>
        <w:separator/>
      </w:r>
    </w:p>
  </w:endnote>
  <w:endnote w:type="continuationSeparator" w:id="0">
    <w:p w:rsidR="008852FC" w:rsidRDefault="008852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2FC" w:rsidRDefault="008852FC">
      <w:pPr>
        <w:spacing w:line="240" w:lineRule="auto"/>
      </w:pPr>
      <w:r>
        <w:separator/>
      </w:r>
    </w:p>
  </w:footnote>
  <w:footnote w:type="continuationSeparator" w:id="0">
    <w:p w:rsidR="008852FC" w:rsidRDefault="008852FC">
      <w:pPr>
        <w:spacing w:line="240" w:lineRule="auto"/>
      </w:pPr>
      <w:r>
        <w:continuationSeparator/>
      </w:r>
    </w:p>
  </w:footnote>
  <w:footnote w:id="1">
    <w:p w:rsidR="00B16254" w:rsidRDefault="00EE06AE">
      <w:pPr>
        <w:pStyle w:val="FootnoteText"/>
      </w:pPr>
      <w:r>
        <w:rPr>
          <w:rStyle w:val="FootnoteReference"/>
        </w:rPr>
        <w:footnoteRef/>
      </w:r>
      <w:r>
        <w:t xml:space="preserve"> Voir le programme « Local to Global Protection » (</w:t>
      </w:r>
      <w:hyperlink r:id="rId1" w:history="1">
        <w:r>
          <w:rPr>
            <w:rStyle w:val="Hyperlink"/>
          </w:rPr>
          <w:t>http://www.local2global.info</w:t>
        </w:r>
      </w:hyperlink>
      <w:r>
        <w:t>) et http://odihpn.org/wp-content/uploads/2008/12/humanitarianexchange041.pdf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9BD"/>
    <w:multiLevelType w:val="hybridMultilevel"/>
    <w:tmpl w:val="52366E28"/>
    <w:lvl w:ilvl="0" w:tplc="320083A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E12113"/>
    <w:multiLevelType w:val="hybridMultilevel"/>
    <w:tmpl w:val="7CBA7D6C"/>
    <w:lvl w:ilvl="0" w:tplc="0B2CE108">
      <w:start w:val="1"/>
      <w:numFmt w:val="decimal"/>
      <w:lvlText w:val="Step %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81796"/>
    <w:multiLevelType w:val="hybridMultilevel"/>
    <w:tmpl w:val="DE9C95A4"/>
    <w:lvl w:ilvl="0" w:tplc="08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C63A76"/>
    <w:multiLevelType w:val="hybridMultilevel"/>
    <w:tmpl w:val="FC4EE294"/>
    <w:lvl w:ilvl="0" w:tplc="92A667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7FF7101"/>
    <w:multiLevelType w:val="hybridMultilevel"/>
    <w:tmpl w:val="43F6AE2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83178FB"/>
    <w:multiLevelType w:val="hybridMultilevel"/>
    <w:tmpl w:val="09D0E17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E201D1"/>
    <w:multiLevelType w:val="hybridMultilevel"/>
    <w:tmpl w:val="BED80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0F4A4103"/>
    <w:multiLevelType w:val="hybridMultilevel"/>
    <w:tmpl w:val="8F702190"/>
    <w:lvl w:ilvl="0" w:tplc="CB6EBE5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6C4386"/>
    <w:multiLevelType w:val="hybridMultilevel"/>
    <w:tmpl w:val="5B4A7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BC3CE4"/>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538481C"/>
    <w:multiLevelType w:val="hybridMultilevel"/>
    <w:tmpl w:val="E3282B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8A119D2"/>
    <w:multiLevelType w:val="hybridMultilevel"/>
    <w:tmpl w:val="9E38691E"/>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8A525C2"/>
    <w:multiLevelType w:val="hybridMultilevel"/>
    <w:tmpl w:val="41DC011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9240DC9"/>
    <w:multiLevelType w:val="hybridMultilevel"/>
    <w:tmpl w:val="38F2F5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BE3666F"/>
    <w:multiLevelType w:val="hybridMultilevel"/>
    <w:tmpl w:val="185025E6"/>
    <w:lvl w:ilvl="0" w:tplc="1E4A72CA">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5">
    <w:nsid w:val="2F691B09"/>
    <w:multiLevelType w:val="multilevel"/>
    <w:tmpl w:val="DEC49DE2"/>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784D1C"/>
    <w:multiLevelType w:val="hybridMultilevel"/>
    <w:tmpl w:val="E11453FC"/>
    <w:lvl w:ilvl="0" w:tplc="04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2AB0220"/>
    <w:multiLevelType w:val="hybridMultilevel"/>
    <w:tmpl w:val="A65EF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4073009"/>
    <w:multiLevelType w:val="hybridMultilevel"/>
    <w:tmpl w:val="F97CC6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B2530A8"/>
    <w:multiLevelType w:val="hybridMultilevel"/>
    <w:tmpl w:val="EECA3D5E"/>
    <w:lvl w:ilvl="0" w:tplc="92A667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C0F51B5"/>
    <w:multiLevelType w:val="hybridMultilevel"/>
    <w:tmpl w:val="C8B6ACB8"/>
    <w:lvl w:ilvl="0" w:tplc="9C4ED9F8">
      <w:start w:val="1"/>
      <w:numFmt w:val="bullet"/>
      <w:lvlText w:val="•"/>
      <w:lvlJc w:val="left"/>
      <w:pPr>
        <w:tabs>
          <w:tab w:val="num" w:pos="720"/>
        </w:tabs>
        <w:ind w:left="720" w:hanging="360"/>
      </w:pPr>
      <w:rPr>
        <w:rFonts w:ascii="Arial" w:hAnsi="Arial" w:hint="default"/>
      </w:rPr>
    </w:lvl>
    <w:lvl w:ilvl="1" w:tplc="7C14AF14" w:tentative="1">
      <w:start w:val="1"/>
      <w:numFmt w:val="bullet"/>
      <w:lvlText w:val="•"/>
      <w:lvlJc w:val="left"/>
      <w:pPr>
        <w:tabs>
          <w:tab w:val="num" w:pos="1440"/>
        </w:tabs>
        <w:ind w:left="1440" w:hanging="360"/>
      </w:pPr>
      <w:rPr>
        <w:rFonts w:ascii="Arial" w:hAnsi="Arial" w:hint="default"/>
      </w:rPr>
    </w:lvl>
    <w:lvl w:ilvl="2" w:tplc="10746F12" w:tentative="1">
      <w:start w:val="1"/>
      <w:numFmt w:val="bullet"/>
      <w:lvlText w:val="•"/>
      <w:lvlJc w:val="left"/>
      <w:pPr>
        <w:tabs>
          <w:tab w:val="num" w:pos="2160"/>
        </w:tabs>
        <w:ind w:left="2160" w:hanging="360"/>
      </w:pPr>
      <w:rPr>
        <w:rFonts w:ascii="Arial" w:hAnsi="Arial" w:hint="default"/>
      </w:rPr>
    </w:lvl>
    <w:lvl w:ilvl="3" w:tplc="67C8EE22" w:tentative="1">
      <w:start w:val="1"/>
      <w:numFmt w:val="bullet"/>
      <w:lvlText w:val="•"/>
      <w:lvlJc w:val="left"/>
      <w:pPr>
        <w:tabs>
          <w:tab w:val="num" w:pos="2880"/>
        </w:tabs>
        <w:ind w:left="2880" w:hanging="360"/>
      </w:pPr>
      <w:rPr>
        <w:rFonts w:ascii="Arial" w:hAnsi="Arial" w:hint="default"/>
      </w:rPr>
    </w:lvl>
    <w:lvl w:ilvl="4" w:tplc="34EE17A8" w:tentative="1">
      <w:start w:val="1"/>
      <w:numFmt w:val="bullet"/>
      <w:lvlText w:val="•"/>
      <w:lvlJc w:val="left"/>
      <w:pPr>
        <w:tabs>
          <w:tab w:val="num" w:pos="3600"/>
        </w:tabs>
        <w:ind w:left="3600" w:hanging="360"/>
      </w:pPr>
      <w:rPr>
        <w:rFonts w:ascii="Arial" w:hAnsi="Arial" w:hint="default"/>
      </w:rPr>
    </w:lvl>
    <w:lvl w:ilvl="5" w:tplc="0816A4A0" w:tentative="1">
      <w:start w:val="1"/>
      <w:numFmt w:val="bullet"/>
      <w:lvlText w:val="•"/>
      <w:lvlJc w:val="left"/>
      <w:pPr>
        <w:tabs>
          <w:tab w:val="num" w:pos="4320"/>
        </w:tabs>
        <w:ind w:left="4320" w:hanging="360"/>
      </w:pPr>
      <w:rPr>
        <w:rFonts w:ascii="Arial" w:hAnsi="Arial" w:hint="default"/>
      </w:rPr>
    </w:lvl>
    <w:lvl w:ilvl="6" w:tplc="1C682F4A" w:tentative="1">
      <w:start w:val="1"/>
      <w:numFmt w:val="bullet"/>
      <w:lvlText w:val="•"/>
      <w:lvlJc w:val="left"/>
      <w:pPr>
        <w:tabs>
          <w:tab w:val="num" w:pos="5040"/>
        </w:tabs>
        <w:ind w:left="5040" w:hanging="360"/>
      </w:pPr>
      <w:rPr>
        <w:rFonts w:ascii="Arial" w:hAnsi="Arial" w:hint="default"/>
      </w:rPr>
    </w:lvl>
    <w:lvl w:ilvl="7" w:tplc="A7806F20" w:tentative="1">
      <w:start w:val="1"/>
      <w:numFmt w:val="bullet"/>
      <w:lvlText w:val="•"/>
      <w:lvlJc w:val="left"/>
      <w:pPr>
        <w:tabs>
          <w:tab w:val="num" w:pos="5760"/>
        </w:tabs>
        <w:ind w:left="5760" w:hanging="360"/>
      </w:pPr>
      <w:rPr>
        <w:rFonts w:ascii="Arial" w:hAnsi="Arial" w:hint="default"/>
      </w:rPr>
    </w:lvl>
    <w:lvl w:ilvl="8" w:tplc="BA96A85E" w:tentative="1">
      <w:start w:val="1"/>
      <w:numFmt w:val="bullet"/>
      <w:lvlText w:val="•"/>
      <w:lvlJc w:val="left"/>
      <w:pPr>
        <w:tabs>
          <w:tab w:val="num" w:pos="6480"/>
        </w:tabs>
        <w:ind w:left="6480" w:hanging="360"/>
      </w:pPr>
      <w:rPr>
        <w:rFonts w:ascii="Arial" w:hAnsi="Arial" w:hint="default"/>
      </w:rPr>
    </w:lvl>
  </w:abstractNum>
  <w:abstractNum w:abstractNumId="21">
    <w:nsid w:val="47C16D7D"/>
    <w:multiLevelType w:val="hybridMultilevel"/>
    <w:tmpl w:val="3572DF4C"/>
    <w:lvl w:ilvl="0" w:tplc="1B945D70">
      <w:start w:val="1"/>
      <w:numFmt w:val="lowerRoman"/>
      <w:lvlText w:val="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9086EC8"/>
    <w:multiLevelType w:val="hybridMultilevel"/>
    <w:tmpl w:val="554214D2"/>
    <w:lvl w:ilvl="0" w:tplc="0409000F">
      <w:start w:val="1"/>
      <w:numFmt w:val="decimal"/>
      <w:lvlText w:val="%1."/>
      <w:lvlJc w:val="left"/>
      <w:pPr>
        <w:tabs>
          <w:tab w:val="num" w:pos="360"/>
        </w:tabs>
        <w:ind w:left="360" w:hanging="360"/>
      </w:pPr>
      <w:rPr>
        <w:rFonts w:hint="default"/>
      </w:rPr>
    </w:lvl>
    <w:lvl w:ilvl="1" w:tplc="E4566004">
      <w:start w:val="1"/>
      <w:numFmt w:val="lowerLetter"/>
      <w:lvlText w:val="%2)"/>
      <w:lvlJc w:val="left"/>
      <w:pPr>
        <w:tabs>
          <w:tab w:val="num" w:pos="1440"/>
        </w:tabs>
        <w:ind w:left="1440" w:hanging="360"/>
      </w:pPr>
      <w:rPr>
        <w:rFonts w:hint="default"/>
      </w:rPr>
    </w:lvl>
    <w:lvl w:ilvl="2" w:tplc="37B46F02">
      <w:start w:val="1"/>
      <w:numFmt w:val="decimal"/>
      <w:lvlText w:val="%3)"/>
      <w:lvlJc w:val="left"/>
      <w:pPr>
        <w:ind w:left="2340" w:hanging="360"/>
      </w:pPr>
      <w:rPr>
        <w:rFonts w:hint="default"/>
      </w:rPr>
    </w:lvl>
    <w:lvl w:ilvl="3" w:tplc="254E9F6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F8587B"/>
    <w:multiLevelType w:val="hybridMultilevel"/>
    <w:tmpl w:val="4EB842BE"/>
    <w:lvl w:ilvl="0" w:tplc="BDE23110">
      <w:start w:val="1"/>
      <w:numFmt w:val="bullet"/>
      <w:lvlText w:val="•"/>
      <w:lvlJc w:val="left"/>
      <w:pPr>
        <w:tabs>
          <w:tab w:val="num" w:pos="720"/>
        </w:tabs>
        <w:ind w:left="720" w:hanging="360"/>
      </w:pPr>
      <w:rPr>
        <w:rFonts w:ascii="Arial" w:hAnsi="Arial" w:hint="default"/>
      </w:rPr>
    </w:lvl>
    <w:lvl w:ilvl="1" w:tplc="B87604EA">
      <w:start w:val="121"/>
      <w:numFmt w:val="bullet"/>
      <w:lvlText w:val="–"/>
      <w:lvlJc w:val="left"/>
      <w:pPr>
        <w:tabs>
          <w:tab w:val="num" w:pos="1440"/>
        </w:tabs>
        <w:ind w:left="1440" w:hanging="360"/>
      </w:pPr>
      <w:rPr>
        <w:rFonts w:ascii="Arial" w:hAnsi="Arial" w:hint="default"/>
      </w:rPr>
    </w:lvl>
    <w:lvl w:ilvl="2" w:tplc="EDBE20F4" w:tentative="1">
      <w:start w:val="1"/>
      <w:numFmt w:val="bullet"/>
      <w:lvlText w:val="•"/>
      <w:lvlJc w:val="left"/>
      <w:pPr>
        <w:tabs>
          <w:tab w:val="num" w:pos="2160"/>
        </w:tabs>
        <w:ind w:left="2160" w:hanging="360"/>
      </w:pPr>
      <w:rPr>
        <w:rFonts w:ascii="Arial" w:hAnsi="Arial" w:hint="default"/>
      </w:rPr>
    </w:lvl>
    <w:lvl w:ilvl="3" w:tplc="AEC44932" w:tentative="1">
      <w:start w:val="1"/>
      <w:numFmt w:val="bullet"/>
      <w:lvlText w:val="•"/>
      <w:lvlJc w:val="left"/>
      <w:pPr>
        <w:tabs>
          <w:tab w:val="num" w:pos="2880"/>
        </w:tabs>
        <w:ind w:left="2880" w:hanging="360"/>
      </w:pPr>
      <w:rPr>
        <w:rFonts w:ascii="Arial" w:hAnsi="Arial" w:hint="default"/>
      </w:rPr>
    </w:lvl>
    <w:lvl w:ilvl="4" w:tplc="65C25D2E" w:tentative="1">
      <w:start w:val="1"/>
      <w:numFmt w:val="bullet"/>
      <w:lvlText w:val="•"/>
      <w:lvlJc w:val="left"/>
      <w:pPr>
        <w:tabs>
          <w:tab w:val="num" w:pos="3600"/>
        </w:tabs>
        <w:ind w:left="3600" w:hanging="360"/>
      </w:pPr>
      <w:rPr>
        <w:rFonts w:ascii="Arial" w:hAnsi="Arial" w:hint="default"/>
      </w:rPr>
    </w:lvl>
    <w:lvl w:ilvl="5" w:tplc="49C2059A" w:tentative="1">
      <w:start w:val="1"/>
      <w:numFmt w:val="bullet"/>
      <w:lvlText w:val="•"/>
      <w:lvlJc w:val="left"/>
      <w:pPr>
        <w:tabs>
          <w:tab w:val="num" w:pos="4320"/>
        </w:tabs>
        <w:ind w:left="4320" w:hanging="360"/>
      </w:pPr>
      <w:rPr>
        <w:rFonts w:ascii="Arial" w:hAnsi="Arial" w:hint="default"/>
      </w:rPr>
    </w:lvl>
    <w:lvl w:ilvl="6" w:tplc="21EEEE7A" w:tentative="1">
      <w:start w:val="1"/>
      <w:numFmt w:val="bullet"/>
      <w:lvlText w:val="•"/>
      <w:lvlJc w:val="left"/>
      <w:pPr>
        <w:tabs>
          <w:tab w:val="num" w:pos="5040"/>
        </w:tabs>
        <w:ind w:left="5040" w:hanging="360"/>
      </w:pPr>
      <w:rPr>
        <w:rFonts w:ascii="Arial" w:hAnsi="Arial" w:hint="default"/>
      </w:rPr>
    </w:lvl>
    <w:lvl w:ilvl="7" w:tplc="7180A9EA" w:tentative="1">
      <w:start w:val="1"/>
      <w:numFmt w:val="bullet"/>
      <w:lvlText w:val="•"/>
      <w:lvlJc w:val="left"/>
      <w:pPr>
        <w:tabs>
          <w:tab w:val="num" w:pos="5760"/>
        </w:tabs>
        <w:ind w:left="5760" w:hanging="360"/>
      </w:pPr>
      <w:rPr>
        <w:rFonts w:ascii="Arial" w:hAnsi="Arial" w:hint="default"/>
      </w:rPr>
    </w:lvl>
    <w:lvl w:ilvl="8" w:tplc="21F29C70" w:tentative="1">
      <w:start w:val="1"/>
      <w:numFmt w:val="bullet"/>
      <w:lvlText w:val="•"/>
      <w:lvlJc w:val="left"/>
      <w:pPr>
        <w:tabs>
          <w:tab w:val="num" w:pos="6480"/>
        </w:tabs>
        <w:ind w:left="6480" w:hanging="360"/>
      </w:pPr>
      <w:rPr>
        <w:rFonts w:ascii="Arial" w:hAnsi="Arial" w:hint="default"/>
      </w:rPr>
    </w:lvl>
  </w:abstractNum>
  <w:abstractNum w:abstractNumId="24">
    <w:nsid w:val="4F6C1876"/>
    <w:multiLevelType w:val="hybridMultilevel"/>
    <w:tmpl w:val="5A1C610E"/>
    <w:lvl w:ilvl="0" w:tplc="E456600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52F2FC2"/>
    <w:multiLevelType w:val="hybridMultilevel"/>
    <w:tmpl w:val="9DB834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56C86E51"/>
    <w:multiLevelType w:val="hybridMultilevel"/>
    <w:tmpl w:val="CF8A9CBE"/>
    <w:lvl w:ilvl="0" w:tplc="92A667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8797192"/>
    <w:multiLevelType w:val="hybridMultilevel"/>
    <w:tmpl w:val="90824A94"/>
    <w:lvl w:ilvl="0" w:tplc="81FE87A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A4D76F7"/>
    <w:multiLevelType w:val="hybridMultilevel"/>
    <w:tmpl w:val="295E5A1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1320EE"/>
    <w:multiLevelType w:val="hybridMultilevel"/>
    <w:tmpl w:val="0AB2B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FB312D7"/>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3A57EA6"/>
    <w:multiLevelType w:val="hybridMultilevel"/>
    <w:tmpl w:val="E5742418"/>
    <w:lvl w:ilvl="0" w:tplc="60CE3A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43E7A0A"/>
    <w:multiLevelType w:val="hybridMultilevel"/>
    <w:tmpl w:val="E884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4F84619"/>
    <w:multiLevelType w:val="hybridMultilevel"/>
    <w:tmpl w:val="78FE34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4D608D4"/>
    <w:multiLevelType w:val="hybridMultilevel"/>
    <w:tmpl w:val="ADE4B9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AA31EF4"/>
    <w:multiLevelType w:val="hybridMultilevel"/>
    <w:tmpl w:val="A3847C6C"/>
    <w:lvl w:ilvl="0" w:tplc="5E74F02E">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num w:numId="1">
    <w:abstractNumId w:val="15"/>
  </w:num>
  <w:num w:numId="2">
    <w:abstractNumId w:val="2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1"/>
  </w:num>
  <w:num w:numId="6">
    <w:abstractNumId w:val="22"/>
  </w:num>
  <w:num w:numId="7">
    <w:abstractNumId w:val="24"/>
  </w:num>
  <w:num w:numId="8">
    <w:abstractNumId w:val="9"/>
  </w:num>
  <w:num w:numId="9">
    <w:abstractNumId w:val="35"/>
  </w:num>
  <w:num w:numId="10">
    <w:abstractNumId w:val="30"/>
  </w:num>
  <w:num w:numId="11">
    <w:abstractNumId w:val="19"/>
  </w:num>
  <w:num w:numId="12">
    <w:abstractNumId w:val="2"/>
  </w:num>
  <w:num w:numId="13">
    <w:abstractNumId w:val="13"/>
  </w:num>
  <w:num w:numId="14">
    <w:abstractNumId w:val="32"/>
  </w:num>
  <w:num w:numId="15">
    <w:abstractNumId w:val="16"/>
  </w:num>
  <w:num w:numId="16">
    <w:abstractNumId w:val="21"/>
  </w:num>
  <w:num w:numId="17">
    <w:abstractNumId w:val="17"/>
  </w:num>
  <w:num w:numId="18">
    <w:abstractNumId w:val="31"/>
  </w:num>
  <w:num w:numId="19">
    <w:abstractNumId w:val="18"/>
  </w:num>
  <w:num w:numId="20">
    <w:abstractNumId w:val="25"/>
  </w:num>
  <w:num w:numId="21">
    <w:abstractNumId w:val="10"/>
  </w:num>
  <w:num w:numId="22">
    <w:abstractNumId w:val="34"/>
  </w:num>
  <w:num w:numId="23">
    <w:abstractNumId w:val="3"/>
  </w:num>
  <w:num w:numId="24">
    <w:abstractNumId w:val="27"/>
  </w:num>
  <w:num w:numId="25">
    <w:abstractNumId w:val="4"/>
  </w:num>
  <w:num w:numId="26">
    <w:abstractNumId w:val="26"/>
  </w:num>
  <w:num w:numId="27">
    <w:abstractNumId w:val="29"/>
  </w:num>
  <w:num w:numId="28">
    <w:abstractNumId w:val="8"/>
  </w:num>
  <w:num w:numId="29">
    <w:abstractNumId w:val="5"/>
  </w:num>
  <w:num w:numId="30">
    <w:abstractNumId w:val="12"/>
  </w:num>
  <w:num w:numId="31">
    <w:abstractNumId w:val="0"/>
  </w:num>
  <w:num w:numId="32">
    <w:abstractNumId w:val="1"/>
  </w:num>
  <w:num w:numId="33">
    <w:abstractNumId w:val="33"/>
  </w:num>
  <w:num w:numId="34">
    <w:abstractNumId w:val="7"/>
  </w:num>
  <w:num w:numId="35">
    <w:abstractNumId w:val="6"/>
  </w:num>
  <w:num w:numId="36">
    <w:abstractNumId w:val="2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701"/>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4E52DF"/>
    <w:rsid w:val="00001B3C"/>
    <w:rsid w:val="00006397"/>
    <w:rsid w:val="000111B0"/>
    <w:rsid w:val="000120C3"/>
    <w:rsid w:val="00017106"/>
    <w:rsid w:val="000178C1"/>
    <w:rsid w:val="00022929"/>
    <w:rsid w:val="0003599F"/>
    <w:rsid w:val="0003688A"/>
    <w:rsid w:val="000476FA"/>
    <w:rsid w:val="0005240C"/>
    <w:rsid w:val="00065E3D"/>
    <w:rsid w:val="00067760"/>
    <w:rsid w:val="0007247B"/>
    <w:rsid w:val="0007393C"/>
    <w:rsid w:val="000773CC"/>
    <w:rsid w:val="000850BD"/>
    <w:rsid w:val="00090B5F"/>
    <w:rsid w:val="000913B7"/>
    <w:rsid w:val="000A07A8"/>
    <w:rsid w:val="000B5E17"/>
    <w:rsid w:val="000B64A9"/>
    <w:rsid w:val="000C06E4"/>
    <w:rsid w:val="000C2FD4"/>
    <w:rsid w:val="000C432F"/>
    <w:rsid w:val="000C58CD"/>
    <w:rsid w:val="000D3F84"/>
    <w:rsid w:val="001024E6"/>
    <w:rsid w:val="00107A45"/>
    <w:rsid w:val="00113892"/>
    <w:rsid w:val="00114559"/>
    <w:rsid w:val="001250E9"/>
    <w:rsid w:val="001253AF"/>
    <w:rsid w:val="00130E2C"/>
    <w:rsid w:val="00143BD7"/>
    <w:rsid w:val="00144A6D"/>
    <w:rsid w:val="0016551C"/>
    <w:rsid w:val="001672F4"/>
    <w:rsid w:val="00176F4C"/>
    <w:rsid w:val="00180FDD"/>
    <w:rsid w:val="00181F11"/>
    <w:rsid w:val="00182EEB"/>
    <w:rsid w:val="00184749"/>
    <w:rsid w:val="00190AB1"/>
    <w:rsid w:val="001920A7"/>
    <w:rsid w:val="00194ED4"/>
    <w:rsid w:val="001A402D"/>
    <w:rsid w:val="001A70EF"/>
    <w:rsid w:val="001B75C0"/>
    <w:rsid w:val="001D4D85"/>
    <w:rsid w:val="001D6FCD"/>
    <w:rsid w:val="001F0D55"/>
    <w:rsid w:val="001F106E"/>
    <w:rsid w:val="001F2D1D"/>
    <w:rsid w:val="0020161F"/>
    <w:rsid w:val="00202337"/>
    <w:rsid w:val="00207D52"/>
    <w:rsid w:val="00221D40"/>
    <w:rsid w:val="002268A0"/>
    <w:rsid w:val="002276B0"/>
    <w:rsid w:val="00232774"/>
    <w:rsid w:val="00235726"/>
    <w:rsid w:val="002438AE"/>
    <w:rsid w:val="002502E6"/>
    <w:rsid w:val="0025139E"/>
    <w:rsid w:val="002514B3"/>
    <w:rsid w:val="00267B65"/>
    <w:rsid w:val="00272B69"/>
    <w:rsid w:val="00272E84"/>
    <w:rsid w:val="0028284C"/>
    <w:rsid w:val="00295126"/>
    <w:rsid w:val="002A2032"/>
    <w:rsid w:val="002B34EF"/>
    <w:rsid w:val="002B6FC2"/>
    <w:rsid w:val="002C1150"/>
    <w:rsid w:val="002D017E"/>
    <w:rsid w:val="002D2148"/>
    <w:rsid w:val="002E2BEB"/>
    <w:rsid w:val="002F6C23"/>
    <w:rsid w:val="002F72C8"/>
    <w:rsid w:val="002F780E"/>
    <w:rsid w:val="00306B64"/>
    <w:rsid w:val="0031018F"/>
    <w:rsid w:val="003208BB"/>
    <w:rsid w:val="003229BB"/>
    <w:rsid w:val="00324392"/>
    <w:rsid w:val="0034748C"/>
    <w:rsid w:val="00350FB6"/>
    <w:rsid w:val="00351E8D"/>
    <w:rsid w:val="00353CC4"/>
    <w:rsid w:val="00360D6C"/>
    <w:rsid w:val="003704D5"/>
    <w:rsid w:val="00381CA6"/>
    <w:rsid w:val="003830DF"/>
    <w:rsid w:val="003844DC"/>
    <w:rsid w:val="00390429"/>
    <w:rsid w:val="00390FC7"/>
    <w:rsid w:val="00396D08"/>
    <w:rsid w:val="003A4118"/>
    <w:rsid w:val="003A4F8F"/>
    <w:rsid w:val="003A6631"/>
    <w:rsid w:val="003B0F60"/>
    <w:rsid w:val="003B374F"/>
    <w:rsid w:val="003B560F"/>
    <w:rsid w:val="003C2B15"/>
    <w:rsid w:val="003C484B"/>
    <w:rsid w:val="003D3BAD"/>
    <w:rsid w:val="003D6103"/>
    <w:rsid w:val="003D76CB"/>
    <w:rsid w:val="003F28A7"/>
    <w:rsid w:val="003F28B6"/>
    <w:rsid w:val="003F68D8"/>
    <w:rsid w:val="00400095"/>
    <w:rsid w:val="004006CE"/>
    <w:rsid w:val="004040DE"/>
    <w:rsid w:val="00404C49"/>
    <w:rsid w:val="00422E02"/>
    <w:rsid w:val="00433B56"/>
    <w:rsid w:val="00435A90"/>
    <w:rsid w:val="00435E93"/>
    <w:rsid w:val="0045247D"/>
    <w:rsid w:val="004526EC"/>
    <w:rsid w:val="004547CE"/>
    <w:rsid w:val="00455954"/>
    <w:rsid w:val="004615E2"/>
    <w:rsid w:val="00467583"/>
    <w:rsid w:val="00472A13"/>
    <w:rsid w:val="00473CB8"/>
    <w:rsid w:val="00480422"/>
    <w:rsid w:val="0048488C"/>
    <w:rsid w:val="00493CB6"/>
    <w:rsid w:val="004A27EA"/>
    <w:rsid w:val="004A2BA0"/>
    <w:rsid w:val="004B19F1"/>
    <w:rsid w:val="004C11C5"/>
    <w:rsid w:val="004C2509"/>
    <w:rsid w:val="004C508B"/>
    <w:rsid w:val="004C771A"/>
    <w:rsid w:val="004D02D5"/>
    <w:rsid w:val="004E0B5B"/>
    <w:rsid w:val="004E1109"/>
    <w:rsid w:val="004E52DF"/>
    <w:rsid w:val="004F5418"/>
    <w:rsid w:val="004F67BF"/>
    <w:rsid w:val="00500F93"/>
    <w:rsid w:val="0050517C"/>
    <w:rsid w:val="00507CA2"/>
    <w:rsid w:val="005136A9"/>
    <w:rsid w:val="00515801"/>
    <w:rsid w:val="00525E18"/>
    <w:rsid w:val="005260A8"/>
    <w:rsid w:val="005311BE"/>
    <w:rsid w:val="005327B5"/>
    <w:rsid w:val="00533BBD"/>
    <w:rsid w:val="00535A2A"/>
    <w:rsid w:val="005538E3"/>
    <w:rsid w:val="00561ADC"/>
    <w:rsid w:val="00580C0A"/>
    <w:rsid w:val="00581AF0"/>
    <w:rsid w:val="005821C2"/>
    <w:rsid w:val="005872E5"/>
    <w:rsid w:val="005919A1"/>
    <w:rsid w:val="0059538E"/>
    <w:rsid w:val="005A42D2"/>
    <w:rsid w:val="005A470A"/>
    <w:rsid w:val="005A5784"/>
    <w:rsid w:val="005A69F2"/>
    <w:rsid w:val="005B23F4"/>
    <w:rsid w:val="005B4F00"/>
    <w:rsid w:val="005B7693"/>
    <w:rsid w:val="005C0DCC"/>
    <w:rsid w:val="005C18A1"/>
    <w:rsid w:val="005C6ED1"/>
    <w:rsid w:val="005D1999"/>
    <w:rsid w:val="005D5D18"/>
    <w:rsid w:val="005E7669"/>
    <w:rsid w:val="005F35C7"/>
    <w:rsid w:val="00601D5E"/>
    <w:rsid w:val="00606967"/>
    <w:rsid w:val="00622367"/>
    <w:rsid w:val="00625F3C"/>
    <w:rsid w:val="00627220"/>
    <w:rsid w:val="006334CA"/>
    <w:rsid w:val="006373C5"/>
    <w:rsid w:val="00641A3A"/>
    <w:rsid w:val="00652333"/>
    <w:rsid w:val="00664C80"/>
    <w:rsid w:val="0067025A"/>
    <w:rsid w:val="006707AA"/>
    <w:rsid w:val="006726C8"/>
    <w:rsid w:val="00685CEA"/>
    <w:rsid w:val="0068607A"/>
    <w:rsid w:val="0068799C"/>
    <w:rsid w:val="00687B07"/>
    <w:rsid w:val="00694094"/>
    <w:rsid w:val="00695A72"/>
    <w:rsid w:val="006B267D"/>
    <w:rsid w:val="006B6076"/>
    <w:rsid w:val="006B7EC7"/>
    <w:rsid w:val="006C3C75"/>
    <w:rsid w:val="006E15C3"/>
    <w:rsid w:val="006F4A2D"/>
    <w:rsid w:val="00702DBB"/>
    <w:rsid w:val="0070467E"/>
    <w:rsid w:val="00705243"/>
    <w:rsid w:val="007077B2"/>
    <w:rsid w:val="00716FD0"/>
    <w:rsid w:val="007218FE"/>
    <w:rsid w:val="00730B46"/>
    <w:rsid w:val="00730DF1"/>
    <w:rsid w:val="007315FC"/>
    <w:rsid w:val="007350B3"/>
    <w:rsid w:val="00743327"/>
    <w:rsid w:val="007535EE"/>
    <w:rsid w:val="00754660"/>
    <w:rsid w:val="0076069C"/>
    <w:rsid w:val="007645B1"/>
    <w:rsid w:val="007653B0"/>
    <w:rsid w:val="007704B1"/>
    <w:rsid w:val="0077067E"/>
    <w:rsid w:val="007708E5"/>
    <w:rsid w:val="00771C49"/>
    <w:rsid w:val="0077369A"/>
    <w:rsid w:val="00776C8A"/>
    <w:rsid w:val="007870D8"/>
    <w:rsid w:val="00793DD7"/>
    <w:rsid w:val="007A08A1"/>
    <w:rsid w:val="007A681F"/>
    <w:rsid w:val="007B47B8"/>
    <w:rsid w:val="007B4C07"/>
    <w:rsid w:val="007B5E69"/>
    <w:rsid w:val="007C1E1E"/>
    <w:rsid w:val="007C68CD"/>
    <w:rsid w:val="007D2574"/>
    <w:rsid w:val="007D2578"/>
    <w:rsid w:val="007E06EC"/>
    <w:rsid w:val="007E76DD"/>
    <w:rsid w:val="007F3619"/>
    <w:rsid w:val="008023B3"/>
    <w:rsid w:val="008141ED"/>
    <w:rsid w:val="00844C57"/>
    <w:rsid w:val="0085553D"/>
    <w:rsid w:val="00860BBB"/>
    <w:rsid w:val="00863812"/>
    <w:rsid w:val="0086388E"/>
    <w:rsid w:val="008638B8"/>
    <w:rsid w:val="008757F0"/>
    <w:rsid w:val="008827E3"/>
    <w:rsid w:val="0088317B"/>
    <w:rsid w:val="008852FC"/>
    <w:rsid w:val="00885917"/>
    <w:rsid w:val="0089019B"/>
    <w:rsid w:val="008923DD"/>
    <w:rsid w:val="008929D8"/>
    <w:rsid w:val="00894382"/>
    <w:rsid w:val="008C200D"/>
    <w:rsid w:val="008C2CB0"/>
    <w:rsid w:val="008C2F0D"/>
    <w:rsid w:val="008C4C91"/>
    <w:rsid w:val="008C681B"/>
    <w:rsid w:val="008D3333"/>
    <w:rsid w:val="008D589E"/>
    <w:rsid w:val="008D7A71"/>
    <w:rsid w:val="008E09A0"/>
    <w:rsid w:val="008E1B2E"/>
    <w:rsid w:val="008E50B4"/>
    <w:rsid w:val="008E5AA4"/>
    <w:rsid w:val="008E5B88"/>
    <w:rsid w:val="008F3E7F"/>
    <w:rsid w:val="00901762"/>
    <w:rsid w:val="00902BCD"/>
    <w:rsid w:val="00905770"/>
    <w:rsid w:val="00924F1E"/>
    <w:rsid w:val="009316A1"/>
    <w:rsid w:val="00934699"/>
    <w:rsid w:val="00950F14"/>
    <w:rsid w:val="009567DA"/>
    <w:rsid w:val="0096080B"/>
    <w:rsid w:val="00961F3E"/>
    <w:rsid w:val="00974B19"/>
    <w:rsid w:val="00975E87"/>
    <w:rsid w:val="009903B3"/>
    <w:rsid w:val="00996B24"/>
    <w:rsid w:val="009A5489"/>
    <w:rsid w:val="009A7AE5"/>
    <w:rsid w:val="009B2AF6"/>
    <w:rsid w:val="009C20CE"/>
    <w:rsid w:val="009D2892"/>
    <w:rsid w:val="009D2C1B"/>
    <w:rsid w:val="009D37E8"/>
    <w:rsid w:val="009D5EF0"/>
    <w:rsid w:val="009E668B"/>
    <w:rsid w:val="009F78D7"/>
    <w:rsid w:val="00A001D9"/>
    <w:rsid w:val="00A05605"/>
    <w:rsid w:val="00A135F6"/>
    <w:rsid w:val="00A15855"/>
    <w:rsid w:val="00A33BE1"/>
    <w:rsid w:val="00A343FE"/>
    <w:rsid w:val="00A456DD"/>
    <w:rsid w:val="00A5110E"/>
    <w:rsid w:val="00A53067"/>
    <w:rsid w:val="00A57037"/>
    <w:rsid w:val="00A654C4"/>
    <w:rsid w:val="00A738F2"/>
    <w:rsid w:val="00A95F2B"/>
    <w:rsid w:val="00A96587"/>
    <w:rsid w:val="00AA2B6F"/>
    <w:rsid w:val="00AA4B2F"/>
    <w:rsid w:val="00AB1849"/>
    <w:rsid w:val="00AB4608"/>
    <w:rsid w:val="00AB687D"/>
    <w:rsid w:val="00AC3735"/>
    <w:rsid w:val="00AC3E5B"/>
    <w:rsid w:val="00AD11E7"/>
    <w:rsid w:val="00AE1600"/>
    <w:rsid w:val="00AE21B4"/>
    <w:rsid w:val="00AE6500"/>
    <w:rsid w:val="00AE7AF0"/>
    <w:rsid w:val="00AF24AE"/>
    <w:rsid w:val="00AF29C7"/>
    <w:rsid w:val="00AF3C5B"/>
    <w:rsid w:val="00B0190D"/>
    <w:rsid w:val="00B07C15"/>
    <w:rsid w:val="00B07E65"/>
    <w:rsid w:val="00B111EA"/>
    <w:rsid w:val="00B1339F"/>
    <w:rsid w:val="00B14BDD"/>
    <w:rsid w:val="00B14D63"/>
    <w:rsid w:val="00B1590D"/>
    <w:rsid w:val="00B16254"/>
    <w:rsid w:val="00B2378D"/>
    <w:rsid w:val="00B24269"/>
    <w:rsid w:val="00B24AB8"/>
    <w:rsid w:val="00B262F0"/>
    <w:rsid w:val="00B40C31"/>
    <w:rsid w:val="00B572F9"/>
    <w:rsid w:val="00B57638"/>
    <w:rsid w:val="00B75385"/>
    <w:rsid w:val="00B816FE"/>
    <w:rsid w:val="00B84947"/>
    <w:rsid w:val="00B91AF6"/>
    <w:rsid w:val="00BA487B"/>
    <w:rsid w:val="00BA7795"/>
    <w:rsid w:val="00BB45C7"/>
    <w:rsid w:val="00BB4660"/>
    <w:rsid w:val="00BB48F8"/>
    <w:rsid w:val="00BC5FCA"/>
    <w:rsid w:val="00BE4A17"/>
    <w:rsid w:val="00BE542F"/>
    <w:rsid w:val="00BF21AC"/>
    <w:rsid w:val="00BF2CFC"/>
    <w:rsid w:val="00C06600"/>
    <w:rsid w:val="00C07A84"/>
    <w:rsid w:val="00C20AFB"/>
    <w:rsid w:val="00C20D34"/>
    <w:rsid w:val="00C25934"/>
    <w:rsid w:val="00C269EF"/>
    <w:rsid w:val="00C30047"/>
    <w:rsid w:val="00C32420"/>
    <w:rsid w:val="00C356CA"/>
    <w:rsid w:val="00C372AB"/>
    <w:rsid w:val="00C44ADA"/>
    <w:rsid w:val="00C54C14"/>
    <w:rsid w:val="00C5630F"/>
    <w:rsid w:val="00C6513E"/>
    <w:rsid w:val="00C7145D"/>
    <w:rsid w:val="00C7385C"/>
    <w:rsid w:val="00C75442"/>
    <w:rsid w:val="00C75B32"/>
    <w:rsid w:val="00C81839"/>
    <w:rsid w:val="00C82B92"/>
    <w:rsid w:val="00C862CA"/>
    <w:rsid w:val="00CB04C7"/>
    <w:rsid w:val="00CB1808"/>
    <w:rsid w:val="00CD4A87"/>
    <w:rsid w:val="00CD798B"/>
    <w:rsid w:val="00CE4236"/>
    <w:rsid w:val="00CE69CC"/>
    <w:rsid w:val="00CF2CB9"/>
    <w:rsid w:val="00D00FFB"/>
    <w:rsid w:val="00D254A7"/>
    <w:rsid w:val="00D322C5"/>
    <w:rsid w:val="00D379F0"/>
    <w:rsid w:val="00D40D06"/>
    <w:rsid w:val="00D46FA2"/>
    <w:rsid w:val="00D5500C"/>
    <w:rsid w:val="00D73352"/>
    <w:rsid w:val="00D8027C"/>
    <w:rsid w:val="00D8097D"/>
    <w:rsid w:val="00D81FA0"/>
    <w:rsid w:val="00D955F7"/>
    <w:rsid w:val="00DA206A"/>
    <w:rsid w:val="00DB5669"/>
    <w:rsid w:val="00DB7FF6"/>
    <w:rsid w:val="00DC4441"/>
    <w:rsid w:val="00DC5322"/>
    <w:rsid w:val="00DD1FC4"/>
    <w:rsid w:val="00DF56B7"/>
    <w:rsid w:val="00E051D2"/>
    <w:rsid w:val="00E052FC"/>
    <w:rsid w:val="00E10869"/>
    <w:rsid w:val="00E178A1"/>
    <w:rsid w:val="00E21C3B"/>
    <w:rsid w:val="00E35FF5"/>
    <w:rsid w:val="00E409DB"/>
    <w:rsid w:val="00E5496F"/>
    <w:rsid w:val="00E6528B"/>
    <w:rsid w:val="00E707BA"/>
    <w:rsid w:val="00E73334"/>
    <w:rsid w:val="00E775B1"/>
    <w:rsid w:val="00E77643"/>
    <w:rsid w:val="00E902AF"/>
    <w:rsid w:val="00E90326"/>
    <w:rsid w:val="00E94347"/>
    <w:rsid w:val="00EA3F9D"/>
    <w:rsid w:val="00EB0875"/>
    <w:rsid w:val="00EB6EB7"/>
    <w:rsid w:val="00EC34DD"/>
    <w:rsid w:val="00ED6586"/>
    <w:rsid w:val="00ED7E95"/>
    <w:rsid w:val="00EE06AE"/>
    <w:rsid w:val="00EE17DA"/>
    <w:rsid w:val="00EE2BF9"/>
    <w:rsid w:val="00EF2B25"/>
    <w:rsid w:val="00F156EE"/>
    <w:rsid w:val="00F1651F"/>
    <w:rsid w:val="00F173CF"/>
    <w:rsid w:val="00F223C7"/>
    <w:rsid w:val="00F23217"/>
    <w:rsid w:val="00F25361"/>
    <w:rsid w:val="00F26543"/>
    <w:rsid w:val="00F337DD"/>
    <w:rsid w:val="00F47320"/>
    <w:rsid w:val="00F55F90"/>
    <w:rsid w:val="00F678A8"/>
    <w:rsid w:val="00F7129D"/>
    <w:rsid w:val="00F71E08"/>
    <w:rsid w:val="00F75A26"/>
    <w:rsid w:val="00F85C2C"/>
    <w:rsid w:val="00F947BF"/>
    <w:rsid w:val="00FA2CDD"/>
    <w:rsid w:val="00FA3E9B"/>
    <w:rsid w:val="00FA64AC"/>
    <w:rsid w:val="00FB7758"/>
    <w:rsid w:val="00FC0575"/>
    <w:rsid w:val="00FE0FF6"/>
    <w:rsid w:val="00FE2B15"/>
    <w:rsid w:val="00FE3151"/>
    <w:rsid w:val="00FE37FA"/>
    <w:rsid w:val="00FE4B81"/>
    <w:rsid w:val="00FE542B"/>
    <w:rsid w:val="00FE793B"/>
    <w:rsid w:val="00FF03E3"/>
    <w:rsid w:val="00FF6DE0"/>
    <w:rsid w:val="00FF6FBA"/>
    <w:rsid w:val="00FF7378"/>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lang w:val="fr-FR"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254A7"/>
    <w:pPr>
      <w:spacing w:line="260" w:lineRule="atLeast"/>
    </w:pPr>
    <w:rPr>
      <w:rFonts w:ascii="Arial" w:hAnsi="Arial"/>
      <w:lang w:eastAsia="nl-NL"/>
    </w:rPr>
  </w:style>
  <w:style w:type="paragraph" w:styleId="Heading1">
    <w:name w:val="heading 1"/>
    <w:basedOn w:val="Normal"/>
    <w:next w:val="Normal"/>
    <w:qFormat/>
    <w:rsid w:val="00D254A7"/>
    <w:pPr>
      <w:keepNext/>
      <w:outlineLvl w:val="0"/>
    </w:pPr>
    <w:rPr>
      <w:b/>
      <w:kern w:val="28"/>
      <w:sz w:val="28"/>
    </w:rPr>
  </w:style>
  <w:style w:type="paragraph" w:styleId="Heading2">
    <w:name w:val="heading 2"/>
    <w:basedOn w:val="Normal"/>
    <w:next w:val="Normal"/>
    <w:qFormat/>
    <w:rsid w:val="00D254A7"/>
    <w:pPr>
      <w:keepNext/>
      <w:spacing w:after="60"/>
      <w:outlineLvl w:val="1"/>
    </w:pPr>
    <w:rPr>
      <w:b/>
      <w:sz w:val="24"/>
    </w:rPr>
  </w:style>
  <w:style w:type="paragraph" w:styleId="Heading3">
    <w:name w:val="heading 3"/>
    <w:basedOn w:val="Normal"/>
    <w:next w:val="Normal"/>
    <w:qFormat/>
    <w:rsid w:val="00D254A7"/>
    <w:pPr>
      <w:keepNext/>
      <w:spacing w:after="120"/>
      <w:ind w:left="357"/>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8371E"/>
    <w:pPr>
      <w:spacing w:line="240" w:lineRule="auto"/>
    </w:pPr>
    <w:rPr>
      <w:rFonts w:ascii="Lucida Grande" w:hAnsi="Lucida Grande"/>
      <w:sz w:val="18"/>
      <w:szCs w:val="18"/>
    </w:rPr>
  </w:style>
  <w:style w:type="character" w:customStyle="1" w:styleId="BalloonTextChar">
    <w:name w:val="Balloon Text Char"/>
    <w:basedOn w:val="DefaultParagraphFont"/>
    <w:uiPriority w:val="99"/>
    <w:semiHidden/>
    <w:rsid w:val="00F53C7E"/>
    <w:rPr>
      <w:rFonts w:ascii="Lucida Grande" w:hAnsi="Lucida Grande"/>
      <w:sz w:val="18"/>
      <w:szCs w:val="18"/>
    </w:rPr>
  </w:style>
  <w:style w:type="paragraph" w:customStyle="1" w:styleId="numbered">
    <w:name w:val="numbered"/>
    <w:basedOn w:val="Normal"/>
    <w:rsid w:val="00D526BC"/>
    <w:pPr>
      <w:spacing w:before="100" w:beforeAutospacing="1" w:after="100" w:afterAutospacing="1" w:line="240" w:lineRule="auto"/>
    </w:pPr>
    <w:rPr>
      <w:rFonts w:ascii="Times New Roman" w:hAnsi="Times New Roman"/>
      <w:sz w:val="24"/>
      <w:szCs w:val="24"/>
    </w:rPr>
  </w:style>
  <w:style w:type="paragraph" w:styleId="Header">
    <w:name w:val="header"/>
    <w:basedOn w:val="Normal"/>
    <w:rsid w:val="00D254A7"/>
    <w:pPr>
      <w:tabs>
        <w:tab w:val="center" w:pos="4536"/>
        <w:tab w:val="right" w:pos="9072"/>
      </w:tabs>
    </w:pPr>
  </w:style>
  <w:style w:type="character" w:styleId="CommentReference">
    <w:name w:val="annotation reference"/>
    <w:uiPriority w:val="99"/>
    <w:semiHidden/>
    <w:unhideWhenUsed/>
    <w:rsid w:val="0018371E"/>
    <w:rPr>
      <w:sz w:val="18"/>
      <w:szCs w:val="18"/>
    </w:rPr>
  </w:style>
  <w:style w:type="paragraph" w:styleId="CommentText">
    <w:name w:val="annotation text"/>
    <w:basedOn w:val="Normal"/>
    <w:link w:val="CommentTextChar"/>
    <w:uiPriority w:val="99"/>
    <w:semiHidden/>
    <w:unhideWhenUsed/>
    <w:rsid w:val="0018371E"/>
    <w:rPr>
      <w:sz w:val="24"/>
      <w:szCs w:val="24"/>
    </w:rPr>
  </w:style>
  <w:style w:type="character" w:customStyle="1" w:styleId="CommentTextChar">
    <w:name w:val="Comment Text Char"/>
    <w:link w:val="CommentText"/>
    <w:uiPriority w:val="99"/>
    <w:semiHidden/>
    <w:rsid w:val="0018371E"/>
    <w:rPr>
      <w:rFonts w:ascii="Arial" w:hAnsi="Arial"/>
      <w:sz w:val="24"/>
      <w:szCs w:val="24"/>
      <w:lang w:val="nl-NL" w:eastAsia="nl-NL"/>
    </w:rPr>
  </w:style>
  <w:style w:type="paragraph" w:styleId="CommentSubject">
    <w:name w:val="annotation subject"/>
    <w:basedOn w:val="CommentText"/>
    <w:next w:val="CommentText"/>
    <w:link w:val="CommentSubjectChar"/>
    <w:uiPriority w:val="99"/>
    <w:semiHidden/>
    <w:unhideWhenUsed/>
    <w:rsid w:val="0018371E"/>
    <w:rPr>
      <w:b/>
      <w:bCs/>
      <w:sz w:val="20"/>
      <w:szCs w:val="20"/>
    </w:rPr>
  </w:style>
  <w:style w:type="character" w:customStyle="1" w:styleId="CommentSubjectChar">
    <w:name w:val="Comment Subject Char"/>
    <w:link w:val="CommentSubject"/>
    <w:uiPriority w:val="99"/>
    <w:semiHidden/>
    <w:rsid w:val="0018371E"/>
    <w:rPr>
      <w:rFonts w:ascii="Arial" w:hAnsi="Arial"/>
      <w:b/>
      <w:bCs/>
      <w:sz w:val="24"/>
      <w:szCs w:val="24"/>
      <w:lang w:val="nl-NL" w:eastAsia="nl-NL"/>
    </w:rPr>
  </w:style>
  <w:style w:type="character" w:customStyle="1" w:styleId="BalloonTextChar1">
    <w:name w:val="Balloon Text Char1"/>
    <w:link w:val="BalloonText"/>
    <w:uiPriority w:val="99"/>
    <w:semiHidden/>
    <w:rsid w:val="0018371E"/>
    <w:rPr>
      <w:rFonts w:ascii="Lucida Grande" w:hAnsi="Lucida Grande"/>
      <w:sz w:val="18"/>
      <w:szCs w:val="18"/>
      <w:lang w:val="nl-NL" w:eastAsia="nl-NL"/>
    </w:rPr>
  </w:style>
  <w:style w:type="paragraph" w:styleId="FootnoteText">
    <w:name w:val="footnote text"/>
    <w:basedOn w:val="Normal"/>
    <w:link w:val="FootnoteTextChar"/>
    <w:uiPriority w:val="99"/>
    <w:semiHidden/>
    <w:unhideWhenUsed/>
    <w:rsid w:val="004C508B"/>
  </w:style>
  <w:style w:type="character" w:customStyle="1" w:styleId="FootnoteTextChar">
    <w:name w:val="Footnote Text Char"/>
    <w:link w:val="FootnoteText"/>
    <w:uiPriority w:val="99"/>
    <w:semiHidden/>
    <w:rsid w:val="004C508B"/>
    <w:rPr>
      <w:rFonts w:ascii="Arial" w:hAnsi="Arial"/>
      <w:lang w:val="nl-NL" w:eastAsia="nl-NL"/>
    </w:rPr>
  </w:style>
  <w:style w:type="character" w:styleId="FootnoteReference">
    <w:name w:val="footnote reference"/>
    <w:uiPriority w:val="99"/>
    <w:semiHidden/>
    <w:unhideWhenUsed/>
    <w:rsid w:val="004C508B"/>
    <w:rPr>
      <w:vertAlign w:val="superscript"/>
    </w:rPr>
  </w:style>
  <w:style w:type="table" w:styleId="TableGrid">
    <w:name w:val="Table Grid"/>
    <w:basedOn w:val="TableNormal"/>
    <w:uiPriority w:val="59"/>
    <w:rsid w:val="00F947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0850BD"/>
    <w:rPr>
      <w:color w:val="0563C1"/>
      <w:u w:val="single"/>
    </w:rPr>
  </w:style>
  <w:style w:type="paragraph" w:styleId="Footer">
    <w:name w:val="footer"/>
    <w:basedOn w:val="Normal"/>
    <w:link w:val="FooterChar"/>
    <w:uiPriority w:val="99"/>
    <w:unhideWhenUsed/>
    <w:rsid w:val="007708E5"/>
    <w:pPr>
      <w:tabs>
        <w:tab w:val="center" w:pos="4513"/>
        <w:tab w:val="right" w:pos="9026"/>
      </w:tabs>
      <w:spacing w:line="240" w:lineRule="auto"/>
    </w:pPr>
  </w:style>
  <w:style w:type="character" w:customStyle="1" w:styleId="FooterChar">
    <w:name w:val="Footer Char"/>
    <w:basedOn w:val="DefaultParagraphFont"/>
    <w:link w:val="Footer"/>
    <w:uiPriority w:val="99"/>
    <w:rsid w:val="007708E5"/>
    <w:rPr>
      <w:rFonts w:ascii="Arial" w:hAnsi="Arial"/>
      <w:lang w:val="nl-NL" w:eastAsia="nl-NL"/>
    </w:rPr>
  </w:style>
  <w:style w:type="paragraph" w:styleId="ListParagraph">
    <w:name w:val="List Paragraph"/>
    <w:basedOn w:val="Normal"/>
    <w:link w:val="ListParagraphChar"/>
    <w:uiPriority w:val="34"/>
    <w:qFormat/>
    <w:rsid w:val="007708E5"/>
    <w:pPr>
      <w:ind w:left="720"/>
      <w:contextualSpacing/>
    </w:pPr>
  </w:style>
  <w:style w:type="character" w:customStyle="1" w:styleId="apple-converted-space">
    <w:name w:val="apple-converted-space"/>
    <w:basedOn w:val="DefaultParagraphFont"/>
    <w:rsid w:val="00606967"/>
  </w:style>
  <w:style w:type="character" w:styleId="FollowedHyperlink">
    <w:name w:val="FollowedHyperlink"/>
    <w:basedOn w:val="DefaultParagraphFont"/>
    <w:uiPriority w:val="99"/>
    <w:semiHidden/>
    <w:unhideWhenUsed/>
    <w:rsid w:val="00001B3C"/>
    <w:rPr>
      <w:color w:val="800080" w:themeColor="followedHyperlink"/>
      <w:u w:val="single"/>
    </w:rPr>
  </w:style>
  <w:style w:type="paragraph" w:styleId="NormalWeb">
    <w:name w:val="Normal (Web)"/>
    <w:basedOn w:val="Normal"/>
    <w:uiPriority w:val="99"/>
    <w:semiHidden/>
    <w:unhideWhenUsed/>
    <w:rsid w:val="00E052FC"/>
    <w:pPr>
      <w:spacing w:before="100" w:beforeAutospacing="1" w:after="100" w:afterAutospacing="1" w:line="240" w:lineRule="auto"/>
    </w:pPr>
    <w:rPr>
      <w:rFonts w:ascii="Times New Roman" w:hAnsi="Times New Roman" w:cs="Times New Roman"/>
      <w:sz w:val="24"/>
      <w:szCs w:val="24"/>
      <w:lang w:eastAsia="en-GB"/>
    </w:rPr>
  </w:style>
  <w:style w:type="character" w:customStyle="1" w:styleId="ListParagraphChar">
    <w:name w:val="List Paragraph Char"/>
    <w:link w:val="ListParagraph"/>
    <w:uiPriority w:val="34"/>
    <w:locked/>
    <w:rsid w:val="00CB1808"/>
    <w:rPr>
      <w:rFonts w:ascii="Arial" w:hAnsi="Arial"/>
      <w:lang w:eastAsia="nl-NL"/>
    </w:rPr>
  </w:style>
  <w:style w:type="paragraph" w:styleId="NoSpacing">
    <w:name w:val="No Spacing"/>
    <w:link w:val="NoSpacingChar"/>
    <w:uiPriority w:val="1"/>
    <w:qFormat/>
    <w:rsid w:val="00CB1808"/>
    <w:rPr>
      <w:rFonts w:asciiTheme="minorHAnsi" w:eastAsia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CB1808"/>
    <w:rPr>
      <w:rFonts w:asciiTheme="minorHAnsi" w:eastAsiaTheme="minorHAnsi" w:hAnsiTheme="minorHAnsi" w:cstheme="minorBidi"/>
      <w:sz w:val="22"/>
      <w:szCs w:val="22"/>
      <w:lang w:val="fr-FR" w:eastAsia="en-US"/>
    </w:rPr>
  </w:style>
  <w:style w:type="character" w:customStyle="1" w:styleId="UnresolvedMention">
    <w:name w:val="Unresolved Mention"/>
    <w:basedOn w:val="DefaultParagraphFont"/>
    <w:uiPriority w:val="99"/>
    <w:semiHidden/>
    <w:unhideWhenUsed/>
    <w:rsid w:val="007B5E69"/>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254557495">
      <w:bodyDiv w:val="1"/>
      <w:marLeft w:val="0"/>
      <w:marRight w:val="0"/>
      <w:marTop w:val="0"/>
      <w:marBottom w:val="0"/>
      <w:divBdr>
        <w:top w:val="none" w:sz="0" w:space="0" w:color="auto"/>
        <w:left w:val="none" w:sz="0" w:space="0" w:color="auto"/>
        <w:bottom w:val="none" w:sz="0" w:space="0" w:color="auto"/>
        <w:right w:val="none" w:sz="0" w:space="0" w:color="auto"/>
      </w:divBdr>
    </w:div>
    <w:div w:id="337271608">
      <w:bodyDiv w:val="1"/>
      <w:marLeft w:val="0"/>
      <w:marRight w:val="0"/>
      <w:marTop w:val="0"/>
      <w:marBottom w:val="0"/>
      <w:divBdr>
        <w:top w:val="none" w:sz="0" w:space="0" w:color="auto"/>
        <w:left w:val="none" w:sz="0" w:space="0" w:color="auto"/>
        <w:bottom w:val="none" w:sz="0" w:space="0" w:color="auto"/>
        <w:right w:val="none" w:sz="0" w:space="0" w:color="auto"/>
      </w:divBdr>
    </w:div>
    <w:div w:id="337734056">
      <w:bodyDiv w:val="1"/>
      <w:marLeft w:val="0"/>
      <w:marRight w:val="0"/>
      <w:marTop w:val="0"/>
      <w:marBottom w:val="0"/>
      <w:divBdr>
        <w:top w:val="none" w:sz="0" w:space="0" w:color="auto"/>
        <w:left w:val="none" w:sz="0" w:space="0" w:color="auto"/>
        <w:bottom w:val="none" w:sz="0" w:space="0" w:color="auto"/>
        <w:right w:val="none" w:sz="0" w:space="0" w:color="auto"/>
      </w:divBdr>
    </w:div>
    <w:div w:id="434861616">
      <w:bodyDiv w:val="1"/>
      <w:marLeft w:val="0"/>
      <w:marRight w:val="0"/>
      <w:marTop w:val="0"/>
      <w:marBottom w:val="0"/>
      <w:divBdr>
        <w:top w:val="none" w:sz="0" w:space="0" w:color="auto"/>
        <w:left w:val="none" w:sz="0" w:space="0" w:color="auto"/>
        <w:bottom w:val="none" w:sz="0" w:space="0" w:color="auto"/>
        <w:right w:val="none" w:sz="0" w:space="0" w:color="auto"/>
      </w:divBdr>
    </w:div>
    <w:div w:id="555092255">
      <w:bodyDiv w:val="1"/>
      <w:marLeft w:val="0"/>
      <w:marRight w:val="0"/>
      <w:marTop w:val="0"/>
      <w:marBottom w:val="0"/>
      <w:divBdr>
        <w:top w:val="none" w:sz="0" w:space="0" w:color="auto"/>
        <w:left w:val="none" w:sz="0" w:space="0" w:color="auto"/>
        <w:bottom w:val="none" w:sz="0" w:space="0" w:color="auto"/>
        <w:right w:val="none" w:sz="0" w:space="0" w:color="auto"/>
      </w:divBdr>
    </w:div>
    <w:div w:id="1115058524">
      <w:bodyDiv w:val="1"/>
      <w:marLeft w:val="0"/>
      <w:marRight w:val="0"/>
      <w:marTop w:val="0"/>
      <w:marBottom w:val="0"/>
      <w:divBdr>
        <w:top w:val="none" w:sz="0" w:space="0" w:color="auto"/>
        <w:left w:val="none" w:sz="0" w:space="0" w:color="auto"/>
        <w:bottom w:val="none" w:sz="0" w:space="0" w:color="auto"/>
        <w:right w:val="none" w:sz="0" w:space="0" w:color="auto"/>
      </w:divBdr>
      <w:divsChild>
        <w:div w:id="115148672">
          <w:marLeft w:val="0"/>
          <w:marRight w:val="0"/>
          <w:marTop w:val="0"/>
          <w:marBottom w:val="0"/>
          <w:divBdr>
            <w:top w:val="none" w:sz="0" w:space="0" w:color="auto"/>
            <w:left w:val="none" w:sz="0" w:space="0" w:color="auto"/>
            <w:bottom w:val="none" w:sz="0" w:space="0" w:color="auto"/>
            <w:right w:val="none" w:sz="0" w:space="0" w:color="auto"/>
          </w:divBdr>
        </w:div>
        <w:div w:id="1236745387">
          <w:marLeft w:val="0"/>
          <w:marRight w:val="0"/>
          <w:marTop w:val="0"/>
          <w:marBottom w:val="0"/>
          <w:divBdr>
            <w:top w:val="none" w:sz="0" w:space="0" w:color="auto"/>
            <w:left w:val="none" w:sz="0" w:space="0" w:color="auto"/>
            <w:bottom w:val="none" w:sz="0" w:space="0" w:color="auto"/>
            <w:right w:val="none" w:sz="0" w:space="0" w:color="auto"/>
          </w:divBdr>
        </w:div>
        <w:div w:id="109445693">
          <w:marLeft w:val="0"/>
          <w:marRight w:val="0"/>
          <w:marTop w:val="0"/>
          <w:marBottom w:val="0"/>
          <w:divBdr>
            <w:top w:val="none" w:sz="0" w:space="0" w:color="auto"/>
            <w:left w:val="none" w:sz="0" w:space="0" w:color="auto"/>
            <w:bottom w:val="none" w:sz="0" w:space="0" w:color="auto"/>
            <w:right w:val="none" w:sz="0" w:space="0" w:color="auto"/>
          </w:divBdr>
        </w:div>
        <w:div w:id="1943799823">
          <w:marLeft w:val="0"/>
          <w:marRight w:val="0"/>
          <w:marTop w:val="0"/>
          <w:marBottom w:val="0"/>
          <w:divBdr>
            <w:top w:val="none" w:sz="0" w:space="0" w:color="auto"/>
            <w:left w:val="none" w:sz="0" w:space="0" w:color="auto"/>
            <w:bottom w:val="none" w:sz="0" w:space="0" w:color="auto"/>
            <w:right w:val="none" w:sz="0" w:space="0" w:color="auto"/>
          </w:divBdr>
        </w:div>
        <w:div w:id="651061924">
          <w:marLeft w:val="0"/>
          <w:marRight w:val="0"/>
          <w:marTop w:val="0"/>
          <w:marBottom w:val="0"/>
          <w:divBdr>
            <w:top w:val="none" w:sz="0" w:space="0" w:color="auto"/>
            <w:left w:val="none" w:sz="0" w:space="0" w:color="auto"/>
            <w:bottom w:val="none" w:sz="0" w:space="0" w:color="auto"/>
            <w:right w:val="none" w:sz="0" w:space="0" w:color="auto"/>
          </w:divBdr>
        </w:div>
        <w:div w:id="723215559">
          <w:marLeft w:val="0"/>
          <w:marRight w:val="0"/>
          <w:marTop w:val="0"/>
          <w:marBottom w:val="0"/>
          <w:divBdr>
            <w:top w:val="none" w:sz="0" w:space="0" w:color="auto"/>
            <w:left w:val="none" w:sz="0" w:space="0" w:color="auto"/>
            <w:bottom w:val="none" w:sz="0" w:space="0" w:color="auto"/>
            <w:right w:val="none" w:sz="0" w:space="0" w:color="auto"/>
          </w:divBdr>
        </w:div>
      </w:divsChild>
    </w:div>
    <w:div w:id="1156148410">
      <w:bodyDiv w:val="1"/>
      <w:marLeft w:val="0"/>
      <w:marRight w:val="0"/>
      <w:marTop w:val="0"/>
      <w:marBottom w:val="0"/>
      <w:divBdr>
        <w:top w:val="none" w:sz="0" w:space="0" w:color="auto"/>
        <w:left w:val="none" w:sz="0" w:space="0" w:color="auto"/>
        <w:bottom w:val="none" w:sz="0" w:space="0" w:color="auto"/>
        <w:right w:val="none" w:sz="0" w:space="0" w:color="auto"/>
      </w:divBdr>
    </w:div>
    <w:div w:id="1214348079">
      <w:bodyDiv w:val="1"/>
      <w:marLeft w:val="0"/>
      <w:marRight w:val="0"/>
      <w:marTop w:val="0"/>
      <w:marBottom w:val="0"/>
      <w:divBdr>
        <w:top w:val="none" w:sz="0" w:space="0" w:color="auto"/>
        <w:left w:val="none" w:sz="0" w:space="0" w:color="auto"/>
        <w:bottom w:val="none" w:sz="0" w:space="0" w:color="auto"/>
        <w:right w:val="none" w:sz="0" w:space="0" w:color="auto"/>
      </w:divBdr>
    </w:div>
    <w:div w:id="1217545445">
      <w:bodyDiv w:val="1"/>
      <w:marLeft w:val="0"/>
      <w:marRight w:val="0"/>
      <w:marTop w:val="0"/>
      <w:marBottom w:val="0"/>
      <w:divBdr>
        <w:top w:val="none" w:sz="0" w:space="0" w:color="auto"/>
        <w:left w:val="none" w:sz="0" w:space="0" w:color="auto"/>
        <w:bottom w:val="none" w:sz="0" w:space="0" w:color="auto"/>
        <w:right w:val="none" w:sz="0" w:space="0" w:color="auto"/>
      </w:divBdr>
    </w:div>
    <w:div w:id="1262685777">
      <w:bodyDiv w:val="1"/>
      <w:marLeft w:val="0"/>
      <w:marRight w:val="0"/>
      <w:marTop w:val="0"/>
      <w:marBottom w:val="0"/>
      <w:divBdr>
        <w:top w:val="none" w:sz="0" w:space="0" w:color="auto"/>
        <w:left w:val="none" w:sz="0" w:space="0" w:color="auto"/>
        <w:bottom w:val="none" w:sz="0" w:space="0" w:color="auto"/>
        <w:right w:val="none" w:sz="0" w:space="0" w:color="auto"/>
      </w:divBdr>
      <w:divsChild>
        <w:div w:id="781459583">
          <w:marLeft w:val="0"/>
          <w:marRight w:val="0"/>
          <w:marTop w:val="0"/>
          <w:marBottom w:val="0"/>
          <w:divBdr>
            <w:top w:val="none" w:sz="0" w:space="0" w:color="auto"/>
            <w:left w:val="none" w:sz="0" w:space="0" w:color="auto"/>
            <w:bottom w:val="none" w:sz="0" w:space="0" w:color="auto"/>
            <w:right w:val="none" w:sz="0" w:space="0" w:color="auto"/>
          </w:divBdr>
        </w:div>
        <w:div w:id="874586236">
          <w:marLeft w:val="0"/>
          <w:marRight w:val="0"/>
          <w:marTop w:val="0"/>
          <w:marBottom w:val="0"/>
          <w:divBdr>
            <w:top w:val="none" w:sz="0" w:space="0" w:color="auto"/>
            <w:left w:val="none" w:sz="0" w:space="0" w:color="auto"/>
            <w:bottom w:val="none" w:sz="0" w:space="0" w:color="auto"/>
            <w:right w:val="none" w:sz="0" w:space="0" w:color="auto"/>
          </w:divBdr>
        </w:div>
      </w:divsChild>
    </w:div>
    <w:div w:id="1448740424">
      <w:bodyDiv w:val="1"/>
      <w:marLeft w:val="0"/>
      <w:marRight w:val="0"/>
      <w:marTop w:val="0"/>
      <w:marBottom w:val="0"/>
      <w:divBdr>
        <w:top w:val="none" w:sz="0" w:space="0" w:color="auto"/>
        <w:left w:val="none" w:sz="0" w:space="0" w:color="auto"/>
        <w:bottom w:val="none" w:sz="0" w:space="0" w:color="auto"/>
        <w:right w:val="none" w:sz="0" w:space="0" w:color="auto"/>
      </w:divBdr>
    </w:div>
    <w:div w:id="1456213782">
      <w:bodyDiv w:val="1"/>
      <w:marLeft w:val="0"/>
      <w:marRight w:val="0"/>
      <w:marTop w:val="0"/>
      <w:marBottom w:val="0"/>
      <w:divBdr>
        <w:top w:val="none" w:sz="0" w:space="0" w:color="auto"/>
        <w:left w:val="none" w:sz="0" w:space="0" w:color="auto"/>
        <w:bottom w:val="none" w:sz="0" w:space="0" w:color="auto"/>
        <w:right w:val="none" w:sz="0" w:space="0" w:color="auto"/>
      </w:divBdr>
    </w:div>
    <w:div w:id="1570384043">
      <w:bodyDiv w:val="1"/>
      <w:marLeft w:val="0"/>
      <w:marRight w:val="0"/>
      <w:marTop w:val="0"/>
      <w:marBottom w:val="0"/>
      <w:divBdr>
        <w:top w:val="none" w:sz="0" w:space="0" w:color="auto"/>
        <w:left w:val="none" w:sz="0" w:space="0" w:color="auto"/>
        <w:bottom w:val="none" w:sz="0" w:space="0" w:color="auto"/>
        <w:right w:val="none" w:sz="0" w:space="0" w:color="auto"/>
      </w:divBdr>
      <w:divsChild>
        <w:div w:id="1547790183">
          <w:marLeft w:val="547"/>
          <w:marRight w:val="0"/>
          <w:marTop w:val="130"/>
          <w:marBottom w:val="0"/>
          <w:divBdr>
            <w:top w:val="none" w:sz="0" w:space="0" w:color="auto"/>
            <w:left w:val="none" w:sz="0" w:space="0" w:color="auto"/>
            <w:bottom w:val="none" w:sz="0" w:space="0" w:color="auto"/>
            <w:right w:val="none" w:sz="0" w:space="0" w:color="auto"/>
          </w:divBdr>
        </w:div>
        <w:div w:id="683172965">
          <w:marLeft w:val="1166"/>
          <w:marRight w:val="0"/>
          <w:marTop w:val="115"/>
          <w:marBottom w:val="0"/>
          <w:divBdr>
            <w:top w:val="none" w:sz="0" w:space="0" w:color="auto"/>
            <w:left w:val="none" w:sz="0" w:space="0" w:color="auto"/>
            <w:bottom w:val="none" w:sz="0" w:space="0" w:color="auto"/>
            <w:right w:val="none" w:sz="0" w:space="0" w:color="auto"/>
          </w:divBdr>
        </w:div>
        <w:div w:id="1067729365">
          <w:marLeft w:val="1166"/>
          <w:marRight w:val="0"/>
          <w:marTop w:val="115"/>
          <w:marBottom w:val="0"/>
          <w:divBdr>
            <w:top w:val="none" w:sz="0" w:space="0" w:color="auto"/>
            <w:left w:val="none" w:sz="0" w:space="0" w:color="auto"/>
            <w:bottom w:val="none" w:sz="0" w:space="0" w:color="auto"/>
            <w:right w:val="none" w:sz="0" w:space="0" w:color="auto"/>
          </w:divBdr>
        </w:div>
        <w:div w:id="785738151">
          <w:marLeft w:val="1166"/>
          <w:marRight w:val="0"/>
          <w:marTop w:val="115"/>
          <w:marBottom w:val="0"/>
          <w:divBdr>
            <w:top w:val="none" w:sz="0" w:space="0" w:color="auto"/>
            <w:left w:val="none" w:sz="0" w:space="0" w:color="auto"/>
            <w:bottom w:val="none" w:sz="0" w:space="0" w:color="auto"/>
            <w:right w:val="none" w:sz="0" w:space="0" w:color="auto"/>
          </w:divBdr>
        </w:div>
        <w:div w:id="1075855824">
          <w:marLeft w:val="1166"/>
          <w:marRight w:val="0"/>
          <w:marTop w:val="115"/>
          <w:marBottom w:val="0"/>
          <w:divBdr>
            <w:top w:val="none" w:sz="0" w:space="0" w:color="auto"/>
            <w:left w:val="none" w:sz="0" w:space="0" w:color="auto"/>
            <w:bottom w:val="none" w:sz="0" w:space="0" w:color="auto"/>
            <w:right w:val="none" w:sz="0" w:space="0" w:color="auto"/>
          </w:divBdr>
        </w:div>
      </w:divsChild>
    </w:div>
    <w:div w:id="1616519147">
      <w:bodyDiv w:val="1"/>
      <w:marLeft w:val="0"/>
      <w:marRight w:val="0"/>
      <w:marTop w:val="0"/>
      <w:marBottom w:val="0"/>
      <w:divBdr>
        <w:top w:val="none" w:sz="0" w:space="0" w:color="auto"/>
        <w:left w:val="none" w:sz="0" w:space="0" w:color="auto"/>
        <w:bottom w:val="none" w:sz="0" w:space="0" w:color="auto"/>
        <w:right w:val="none" w:sz="0" w:space="0" w:color="auto"/>
      </w:divBdr>
    </w:div>
    <w:div w:id="1668558269">
      <w:bodyDiv w:val="1"/>
      <w:marLeft w:val="0"/>
      <w:marRight w:val="0"/>
      <w:marTop w:val="0"/>
      <w:marBottom w:val="0"/>
      <w:divBdr>
        <w:top w:val="none" w:sz="0" w:space="0" w:color="auto"/>
        <w:left w:val="none" w:sz="0" w:space="0" w:color="auto"/>
        <w:bottom w:val="none" w:sz="0" w:space="0" w:color="auto"/>
        <w:right w:val="none" w:sz="0" w:space="0" w:color="auto"/>
      </w:divBdr>
    </w:div>
    <w:div w:id="1675691265">
      <w:bodyDiv w:val="1"/>
      <w:marLeft w:val="0"/>
      <w:marRight w:val="0"/>
      <w:marTop w:val="0"/>
      <w:marBottom w:val="0"/>
      <w:divBdr>
        <w:top w:val="none" w:sz="0" w:space="0" w:color="auto"/>
        <w:left w:val="none" w:sz="0" w:space="0" w:color="auto"/>
        <w:bottom w:val="none" w:sz="0" w:space="0" w:color="auto"/>
        <w:right w:val="none" w:sz="0" w:space="0" w:color="auto"/>
      </w:divBdr>
    </w:div>
    <w:div w:id="1786775082">
      <w:bodyDiv w:val="1"/>
      <w:marLeft w:val="0"/>
      <w:marRight w:val="0"/>
      <w:marTop w:val="0"/>
      <w:marBottom w:val="0"/>
      <w:divBdr>
        <w:top w:val="none" w:sz="0" w:space="0" w:color="auto"/>
        <w:left w:val="none" w:sz="0" w:space="0" w:color="auto"/>
        <w:bottom w:val="none" w:sz="0" w:space="0" w:color="auto"/>
        <w:right w:val="none" w:sz="0" w:space="0" w:color="auto"/>
      </w:divBdr>
      <w:divsChild>
        <w:div w:id="632097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0346221">
      <w:bodyDiv w:val="1"/>
      <w:marLeft w:val="0"/>
      <w:marRight w:val="0"/>
      <w:marTop w:val="0"/>
      <w:marBottom w:val="0"/>
      <w:divBdr>
        <w:top w:val="none" w:sz="0" w:space="0" w:color="auto"/>
        <w:left w:val="none" w:sz="0" w:space="0" w:color="auto"/>
        <w:bottom w:val="none" w:sz="0" w:space="0" w:color="auto"/>
        <w:right w:val="none" w:sz="0" w:space="0" w:color="auto"/>
      </w:divBdr>
    </w:div>
    <w:div w:id="1853296929">
      <w:bodyDiv w:val="1"/>
      <w:marLeft w:val="0"/>
      <w:marRight w:val="0"/>
      <w:marTop w:val="0"/>
      <w:marBottom w:val="0"/>
      <w:divBdr>
        <w:top w:val="none" w:sz="0" w:space="0" w:color="auto"/>
        <w:left w:val="none" w:sz="0" w:space="0" w:color="auto"/>
        <w:bottom w:val="none" w:sz="0" w:space="0" w:color="auto"/>
        <w:right w:val="none" w:sz="0" w:space="0" w:color="auto"/>
      </w:divBdr>
    </w:div>
    <w:div w:id="1950622031">
      <w:bodyDiv w:val="1"/>
      <w:marLeft w:val="0"/>
      <w:marRight w:val="0"/>
      <w:marTop w:val="0"/>
      <w:marBottom w:val="0"/>
      <w:divBdr>
        <w:top w:val="none" w:sz="0" w:space="0" w:color="auto"/>
        <w:left w:val="none" w:sz="0" w:space="0" w:color="auto"/>
        <w:bottom w:val="none" w:sz="0" w:space="0" w:color="auto"/>
        <w:right w:val="none" w:sz="0" w:space="0" w:color="auto"/>
      </w:divBdr>
    </w:div>
    <w:div w:id="19923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ocal2global.info/training/packa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ocal2global.info/wp-content/uploads/10-Day-3-handouts-Module-3.docx" TargetMode="External"/><Relationship Id="rId4" Type="http://schemas.openxmlformats.org/officeDocument/2006/relationships/settings" Target="settings.xml"/><Relationship Id="rId9" Type="http://schemas.openxmlformats.org/officeDocument/2006/relationships/hyperlink" Target="https://www.local2global.info/wp-content/uploads/06-Day-2-handouts-Module-2.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ocal2global.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520BF-BA90-42AA-8743-5D26D5AEB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5149</Words>
  <Characters>28321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In situation that urgent response (therefore quick de blocking of financing) is necessary, Cordaid has the possibility to cons</vt:lpstr>
    </vt:vector>
  </TitlesOfParts>
  <Company>Hewlett-Packard Company</Company>
  <LinksUpToDate>false</LinksUpToDate>
  <CharactersWithSpaces>33404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situation that urgent response (therefore quick de blocking of financing) is necessary, Cordaid has the possibility to cons</dc:title>
  <dc:creator>mal</dc:creator>
  <cp:lastModifiedBy>Multimarket Web Translation Ltd</cp:lastModifiedBy>
  <cp:revision>22</cp:revision>
  <cp:lastPrinted>2019-04-01T12:19:00Z</cp:lastPrinted>
  <dcterms:created xsi:type="dcterms:W3CDTF">2019-05-19T15:29:00Z</dcterms:created>
  <dcterms:modified xsi:type="dcterms:W3CDTF">2019-05-19T16:08:00Z</dcterms:modified>
</cp:coreProperties>
</file>