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62" w:rsidRPr="00494D52" w:rsidRDefault="00867B8B" w:rsidP="00543662">
      <w:pPr>
        <w:rPr>
          <w:b/>
          <w:lang w:val="fr-FR"/>
        </w:rPr>
      </w:pPr>
      <w:r w:rsidRPr="00494D52">
        <w:rPr>
          <w:b/>
          <w:u w:val="single"/>
          <w:lang w:val="fr-FR" w:bidi="fr-FR"/>
        </w:rPr>
        <w:t>« Lutte contre les bombes lacrymogènes » – Étude de cas des monts Nouba</w:t>
      </w:r>
    </w:p>
    <w:p w:rsidR="00D620E3" w:rsidRPr="00494D52" w:rsidRDefault="00D620E3" w:rsidP="00543662">
      <w:pPr>
        <w:rPr>
          <w:u w:val="single"/>
          <w:lang w:val="fr-FR"/>
        </w:rPr>
      </w:pPr>
      <w:r w:rsidRPr="00494D52">
        <w:rPr>
          <w:lang w:val="fr-FR" w:bidi="fr-FR"/>
        </w:rPr>
        <w:t xml:space="preserve">Les monts Nouba ont été privés de l’aide extérieure depuis la reprise de la guerre en 2011. Cependant, la société civile locale est restée dynamique en aidant les populations locales à faire face à la crise et à trouver des voies et moyens pour leur autoprotection. </w:t>
      </w:r>
    </w:p>
    <w:p w:rsidR="00543662" w:rsidRPr="00494D52" w:rsidRDefault="001B2827" w:rsidP="00543662">
      <w:pPr>
        <w:rPr>
          <w:lang w:val="fr-FR"/>
        </w:rPr>
      </w:pPr>
      <w:hyperlink r:id="rId8" w:history="1">
        <w:r w:rsidR="00543662" w:rsidRPr="00494D52">
          <w:rPr>
            <w:rStyle w:val="Hyperlink"/>
            <w:color w:val="auto"/>
            <w:lang w:val="fr-FR" w:bidi="fr-FR"/>
          </w:rPr>
          <w:t>https://vimeo.com/109753187</w:t>
        </w:r>
      </w:hyperlink>
    </w:p>
    <w:p w:rsidR="00543662" w:rsidRPr="00494D52" w:rsidRDefault="00867B8B" w:rsidP="00543662">
      <w:pPr>
        <w:rPr>
          <w:u w:val="single"/>
          <w:lang w:val="fr-FR"/>
        </w:rPr>
      </w:pPr>
      <w:r w:rsidRPr="00494D52">
        <w:rPr>
          <w:u w:val="single"/>
          <w:lang w:val="fr-FR" w:bidi="fr-FR"/>
        </w:rPr>
        <w:t xml:space="preserve">Notes pour les facilitateurs </w:t>
      </w:r>
    </w:p>
    <w:p w:rsidR="00867B8B" w:rsidRPr="00494D52" w:rsidRDefault="00867B8B" w:rsidP="00543662">
      <w:pPr>
        <w:rPr>
          <w:lang w:val="fr-FR"/>
        </w:rPr>
      </w:pPr>
      <w:r w:rsidRPr="00494D52">
        <w:rPr>
          <w:lang w:val="fr-FR" w:bidi="fr-FR"/>
        </w:rPr>
        <w:t>La présente vidéo de 12 minutes fournit des points de discussion autour d’un certain nombre de questions, à savoir sur:</w:t>
      </w:r>
    </w:p>
    <w:p w:rsidR="00867B8B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>les moyens utilisés par les communautés pour faire face à la crise (sur le plan humanitaire, de la protection), sans appui extérieur, c’est-à-dire comme premiers intervenants ;</w:t>
      </w:r>
    </w:p>
    <w:p w:rsidR="00867B8B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>le résultat des bénévoles de PALC ayant recueilli des cas de réussites (enquête évaluative) sur les moyens utilisés par les populations pendant la dernière guerre et sur leur mode de rediffusion à l’ensemble de la population afin d’aider celle-ci à mieux gérer le conflit actuel ;</w:t>
      </w:r>
    </w:p>
    <w:p w:rsidR="00867B8B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>l’importance de la dignité et du bien-être psychologique pendant les crises (donc dans «la lutte contre les bombes lacrymogènes») ;</w:t>
      </w:r>
    </w:p>
    <w:p w:rsidR="00867B8B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 xml:space="preserve">la façon dont de la population locale peut aider au </w:t>
      </w:r>
      <w:proofErr w:type="spellStart"/>
      <w:r w:rsidRPr="00494D52">
        <w:rPr>
          <w:lang w:val="fr-FR" w:bidi="fr-FR"/>
        </w:rPr>
        <w:t>ré</w:t>
      </w:r>
      <w:r w:rsidR="00844E9C">
        <w:rPr>
          <w:lang w:val="fr-FR" w:bidi="fr-FR"/>
        </w:rPr>
        <w:t>habiliation</w:t>
      </w:r>
      <w:proofErr w:type="spellEnd"/>
      <w:r w:rsidRPr="00494D52">
        <w:rPr>
          <w:lang w:val="fr-FR" w:bidi="fr-FR"/>
        </w:rPr>
        <w:t xml:space="preserve"> </w:t>
      </w:r>
      <w:bookmarkStart w:id="0" w:name="_GoBack"/>
      <w:r w:rsidRPr="00494D52">
        <w:rPr>
          <w:lang w:val="fr-FR" w:bidi="fr-FR"/>
        </w:rPr>
        <w:t>psycho</w:t>
      </w:r>
      <w:bookmarkEnd w:id="0"/>
      <w:r w:rsidRPr="00494D52">
        <w:rPr>
          <w:lang w:val="fr-FR" w:bidi="fr-FR"/>
        </w:rPr>
        <w:t>logique ;</w:t>
      </w:r>
    </w:p>
    <w:p w:rsidR="00867B8B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>l’importance de la cohésion au sein des communautés résistantes (en particulier les communautés musulmanes et chrétiennes se soutenant mutuellement ;</w:t>
      </w:r>
    </w:p>
    <w:p w:rsidR="00867B8B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>le rôle clé que les femm</w:t>
      </w:r>
      <w:r w:rsidR="00DD7E5C" w:rsidRPr="00494D52">
        <w:rPr>
          <w:lang w:val="fr-FR" w:bidi="fr-FR"/>
        </w:rPr>
        <w:t>es peuvent jouer comme auteurs</w:t>
      </w:r>
      <w:r w:rsidRPr="00494D52">
        <w:rPr>
          <w:lang w:val="fr-FR" w:bidi="fr-FR"/>
        </w:rPr>
        <w:t xml:space="preserve"> dynamiques de la protection locale (et non pas comme des victimes sans soutien !) ;</w:t>
      </w:r>
    </w:p>
    <w:p w:rsidR="0080528F" w:rsidRPr="00494D52" w:rsidRDefault="00867B8B" w:rsidP="00501DC9">
      <w:pPr>
        <w:pStyle w:val="ListParagraph"/>
        <w:numPr>
          <w:ilvl w:val="0"/>
          <w:numId w:val="2"/>
        </w:numPr>
        <w:spacing w:after="120"/>
        <w:ind w:left="425" w:hanging="357"/>
        <w:contextualSpacing w:val="0"/>
        <w:rPr>
          <w:lang w:val="fr-FR"/>
        </w:rPr>
      </w:pPr>
      <w:r w:rsidRPr="00494D52">
        <w:rPr>
          <w:lang w:val="fr-FR" w:bidi="fr-FR"/>
        </w:rPr>
        <w:t xml:space="preserve">la façon dont le processus de PALC </w:t>
      </w:r>
      <w:r w:rsidR="00DD7E5C" w:rsidRPr="00494D52">
        <w:rPr>
          <w:lang w:val="fr-FR" w:bidi="fr-FR"/>
        </w:rPr>
        <w:t>a abouti à la création d’une OCB</w:t>
      </w:r>
      <w:r w:rsidRPr="00494D52">
        <w:rPr>
          <w:lang w:val="fr-FR" w:bidi="fr-FR"/>
        </w:rPr>
        <w:t xml:space="preserve"> locale (l’Association des femmes des monts Nouba) ayant constitué elle-même ses propres groupes d’autodéfense réunissant de nombreuses femmes afin de fournir une vaste gamme de services de protection et de soutien psychosocial à plus de 500 000 personnes, presque sans aide extérieure. Ces groupes ont assuré :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  <w:rPr>
          <w:lang w:val="fr-FR"/>
        </w:rPr>
      </w:pPr>
      <w:r w:rsidRPr="00494D52">
        <w:rPr>
          <w:lang w:val="fr-FR" w:bidi="fr-FR"/>
        </w:rPr>
        <w:t>des mesures d’autoprotection face à la guerre (c’est-à-dire, des fosses, les sacs de course, des systèmes d’alerte rapide, etc.),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</w:pPr>
      <w:r w:rsidRPr="00494D52">
        <w:rPr>
          <w:lang w:val="fr-FR" w:bidi="fr-FR"/>
        </w:rPr>
        <w:t>le soutien psychologique,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  <w:rPr>
          <w:lang w:val="fr-FR"/>
        </w:rPr>
      </w:pPr>
      <w:r w:rsidRPr="00494D52">
        <w:rPr>
          <w:lang w:val="fr-FR" w:bidi="fr-FR"/>
        </w:rPr>
        <w:t>la gestion des denrées alimentaires (rationnement alimentaire),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  <w:rPr>
          <w:lang w:val="fr-FR"/>
        </w:rPr>
      </w:pPr>
      <w:r w:rsidRPr="00494D52">
        <w:rPr>
          <w:lang w:val="fr-FR" w:bidi="fr-FR"/>
        </w:rPr>
        <w:t>la collecte et préparation des aliments sauvages comestibles,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</w:pPr>
      <w:r w:rsidRPr="00494D52">
        <w:rPr>
          <w:lang w:val="fr-FR" w:bidi="fr-FR"/>
        </w:rPr>
        <w:t>les premiers soins,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</w:pPr>
      <w:r w:rsidRPr="00494D52">
        <w:rPr>
          <w:lang w:val="fr-FR" w:bidi="fr-FR"/>
        </w:rPr>
        <w:t xml:space="preserve">Médecine traditionnelle, 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  <w:rPr>
          <w:lang w:val="fr-FR"/>
        </w:rPr>
      </w:pPr>
      <w:r w:rsidRPr="00494D52">
        <w:rPr>
          <w:lang w:val="fr-FR" w:bidi="fr-FR"/>
        </w:rPr>
        <w:t>l’harmonie religieuse et la cohésion sociale,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  <w:rPr>
          <w:lang w:val="fi-FI"/>
        </w:rPr>
      </w:pPr>
      <w:r w:rsidRPr="00494D52">
        <w:rPr>
          <w:lang w:val="fr-FR" w:bidi="fr-FR"/>
        </w:rPr>
        <w:t>l’estime de soi et la dignité,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1"/>
      </w:pPr>
      <w:r w:rsidRPr="00494D52">
        <w:rPr>
          <w:lang w:val="fr-FR" w:bidi="fr-FR"/>
        </w:rPr>
        <w:t>des questions durables,</w:t>
      </w:r>
    </w:p>
    <w:p w:rsidR="00501DC9" w:rsidRPr="00494D52" w:rsidRDefault="00501DC9" w:rsidP="00501DC9">
      <w:pPr>
        <w:pStyle w:val="ListParagraph"/>
        <w:numPr>
          <w:ilvl w:val="2"/>
          <w:numId w:val="2"/>
        </w:numPr>
        <w:spacing w:after="160" w:line="259" w:lineRule="auto"/>
        <w:ind w:left="850" w:hanging="181"/>
        <w:contextualSpacing w:val="0"/>
        <w:rPr>
          <w:lang w:val="fr-FR"/>
        </w:rPr>
      </w:pPr>
      <w:r w:rsidRPr="00494D52">
        <w:rPr>
          <w:lang w:val="fr-FR" w:bidi="fr-FR"/>
        </w:rPr>
        <w:t>la documentation des activités de mobilisation ;</w:t>
      </w:r>
    </w:p>
    <w:p w:rsidR="0080528F" w:rsidRPr="00494D52" w:rsidRDefault="0080528F" w:rsidP="00501DC9">
      <w:pPr>
        <w:pStyle w:val="ListParagraph"/>
        <w:numPr>
          <w:ilvl w:val="0"/>
          <w:numId w:val="2"/>
        </w:numPr>
        <w:spacing w:after="120"/>
        <w:ind w:left="425"/>
        <w:contextualSpacing w:val="0"/>
        <w:rPr>
          <w:lang w:val="fr-FR"/>
        </w:rPr>
      </w:pPr>
      <w:r w:rsidRPr="00494D52">
        <w:rPr>
          <w:lang w:val="fr-FR" w:bidi="fr-FR"/>
        </w:rPr>
        <w:lastRenderedPageBreak/>
        <w:t xml:space="preserve">les experts techniques extérieurs </w:t>
      </w:r>
      <w:proofErr w:type="spellStart"/>
      <w:r w:rsidRPr="00494D52">
        <w:rPr>
          <w:lang w:val="fr-FR" w:bidi="fr-FR"/>
        </w:rPr>
        <w:t>ToT</w:t>
      </w:r>
      <w:proofErr w:type="spellEnd"/>
      <w:r w:rsidRPr="00494D52">
        <w:rPr>
          <w:lang w:val="fr-FR" w:bidi="fr-FR"/>
        </w:rPr>
        <w:t xml:space="preserve"> (spécialisés en offre de premiers soins physiques, de premiers soins psychologiques communautaires) ont été déployés au service des femmes clés qui, par la suite, ont formé les membres des groupes ; </w:t>
      </w:r>
    </w:p>
    <w:p w:rsidR="0080528F" w:rsidRPr="00494D52" w:rsidRDefault="0080528F" w:rsidP="00501DC9">
      <w:pPr>
        <w:pStyle w:val="ListParagraph"/>
        <w:numPr>
          <w:ilvl w:val="0"/>
          <w:numId w:val="2"/>
        </w:numPr>
        <w:spacing w:after="120"/>
        <w:ind w:left="425"/>
        <w:contextualSpacing w:val="0"/>
        <w:rPr>
          <w:lang w:val="fr-FR"/>
        </w:rPr>
      </w:pPr>
      <w:r w:rsidRPr="00494D52">
        <w:rPr>
          <w:lang w:val="fr-FR" w:bidi="fr-FR"/>
        </w:rPr>
        <w:t>des experts locaux ont été identifiés et déployés pour fournir une formation en préparation d’aliments et de médicaments traditionnels, ainsi qu’en rationnement alimentaire ;</w:t>
      </w:r>
    </w:p>
    <w:p w:rsidR="00B2514C" w:rsidRPr="00494D52" w:rsidRDefault="00867B8B" w:rsidP="00D620E3">
      <w:pPr>
        <w:pStyle w:val="ListParagraph"/>
        <w:numPr>
          <w:ilvl w:val="0"/>
          <w:numId w:val="2"/>
        </w:numPr>
        <w:spacing w:after="120"/>
        <w:ind w:left="425"/>
        <w:contextualSpacing w:val="0"/>
        <w:rPr>
          <w:lang w:val="fr-FR"/>
        </w:rPr>
      </w:pPr>
      <w:r w:rsidRPr="00494D52">
        <w:rPr>
          <w:lang w:val="fr-FR" w:bidi="fr-FR"/>
        </w:rPr>
        <w:t>la façon dont la protection peut aider à la consolidation de la paix au niveau local (bien que non présenté dans la présente vidéo, ce même processus de considération de l’autoprotection conduit en fin de compte à la consolidation de la paix).</w:t>
      </w:r>
      <w:r w:rsidR="00313DF8" w:rsidRPr="00494D52">
        <w:rPr>
          <w:lang w:val="fr-FR" w:bidi="fr-FR"/>
        </w:rPr>
        <w:tab/>
      </w:r>
    </w:p>
    <w:sectPr w:rsidR="00B2514C" w:rsidRPr="00494D52" w:rsidSect="00D620E3">
      <w:pgSz w:w="12240" w:h="15840"/>
      <w:pgMar w:top="1135" w:right="118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24" w:rsidRDefault="001C3424" w:rsidP="00DF65CE">
      <w:pPr>
        <w:spacing w:after="0" w:line="240" w:lineRule="auto"/>
      </w:pPr>
      <w:r>
        <w:separator/>
      </w:r>
    </w:p>
  </w:endnote>
  <w:endnote w:type="continuationSeparator" w:id="0">
    <w:p w:rsidR="001C3424" w:rsidRDefault="001C3424" w:rsidP="00DF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24" w:rsidRDefault="001C3424" w:rsidP="00DF65CE">
      <w:pPr>
        <w:spacing w:after="0" w:line="240" w:lineRule="auto"/>
      </w:pPr>
      <w:r>
        <w:separator/>
      </w:r>
    </w:p>
  </w:footnote>
  <w:footnote w:type="continuationSeparator" w:id="0">
    <w:p w:rsidR="001C3424" w:rsidRDefault="001C3424" w:rsidP="00DF6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E2D66"/>
    <w:multiLevelType w:val="hybridMultilevel"/>
    <w:tmpl w:val="6794F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F02"/>
    <w:multiLevelType w:val="hybridMultilevel"/>
    <w:tmpl w:val="046ACE44"/>
    <w:lvl w:ilvl="0" w:tplc="817E304A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62"/>
    <w:rsid w:val="00140B75"/>
    <w:rsid w:val="001B2827"/>
    <w:rsid w:val="001C3424"/>
    <w:rsid w:val="00313DF8"/>
    <w:rsid w:val="004064AB"/>
    <w:rsid w:val="00494D52"/>
    <w:rsid w:val="00501DC9"/>
    <w:rsid w:val="00543662"/>
    <w:rsid w:val="005C2A24"/>
    <w:rsid w:val="0069579F"/>
    <w:rsid w:val="006D4AA6"/>
    <w:rsid w:val="0080528F"/>
    <w:rsid w:val="00844E9C"/>
    <w:rsid w:val="00867B8B"/>
    <w:rsid w:val="009B635A"/>
    <w:rsid w:val="00A80A39"/>
    <w:rsid w:val="00B2514C"/>
    <w:rsid w:val="00D620E3"/>
    <w:rsid w:val="00D63289"/>
    <w:rsid w:val="00D67D12"/>
    <w:rsid w:val="00DD7E5C"/>
    <w:rsid w:val="00D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66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66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4366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65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5C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65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5C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66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66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4366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65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5C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65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5C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975318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2019-06-13T12:00:00Z</dcterms:created>
  <dcterms:modified xsi:type="dcterms:W3CDTF">2019-06-15T19:07:00Z</dcterms:modified>
</cp:coreProperties>
</file>