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32" w:rsidRPr="008531E6" w:rsidRDefault="00AF6632" w:rsidP="00AF6632">
      <w:pPr>
        <w:pStyle w:val="Ttulo1"/>
        <w:rPr>
          <w:b/>
          <w:lang w:val="es-ES"/>
        </w:rPr>
      </w:pPr>
      <w:r w:rsidRPr="008531E6">
        <w:rPr>
          <w:b/>
          <w:lang w:val="es-ES"/>
        </w:rPr>
        <w:t xml:space="preserve">Vacunación en pacientes con </w:t>
      </w:r>
      <w:proofErr w:type="spellStart"/>
      <w:r w:rsidRPr="008531E6">
        <w:rPr>
          <w:b/>
          <w:lang w:val="es-ES"/>
        </w:rPr>
        <w:t>aciduria</w:t>
      </w:r>
      <w:proofErr w:type="spellEnd"/>
      <w:r w:rsidRPr="008531E6">
        <w:rPr>
          <w:b/>
          <w:lang w:val="es-ES"/>
        </w:rPr>
        <w:t xml:space="preserve"> </w:t>
      </w:r>
      <w:proofErr w:type="spellStart"/>
      <w:r w:rsidRPr="008531E6">
        <w:rPr>
          <w:b/>
          <w:lang w:val="es-ES"/>
        </w:rPr>
        <w:t>glutárica</w:t>
      </w:r>
      <w:proofErr w:type="spellEnd"/>
      <w:r w:rsidRPr="008531E6">
        <w:rPr>
          <w:b/>
          <w:lang w:val="es-ES"/>
        </w:rPr>
        <w:t xml:space="preserve"> tipo 1</w:t>
      </w:r>
    </w:p>
    <w:p w:rsidR="00AF6632" w:rsidRPr="008531E6" w:rsidRDefault="00AF6632" w:rsidP="00AF6632">
      <w:pPr>
        <w:rPr>
          <w:rFonts w:asciiTheme="majorHAnsi" w:hAnsiTheme="majorHAnsi"/>
          <w:lang w:val="es-ES"/>
        </w:rPr>
      </w:pPr>
    </w:p>
    <w:p w:rsidR="00B75CCA" w:rsidRPr="008531E6" w:rsidRDefault="00C31718" w:rsidP="00AF6632">
      <w:pPr>
        <w:jc w:val="both"/>
        <w:rPr>
          <w:rFonts w:asciiTheme="majorHAnsi" w:hAnsiTheme="majorHAnsi"/>
          <w:b/>
          <w:lang w:val="es-ES"/>
        </w:rPr>
      </w:pPr>
      <w:r w:rsidRPr="008531E6">
        <w:rPr>
          <w:rFonts w:asciiTheme="majorHAnsi" w:hAnsiTheme="majorHAnsi"/>
          <w:b/>
          <w:lang w:val="es-ES"/>
        </w:rPr>
        <w:t>¿Qué son las vacunas y qué implican en los niños?</w:t>
      </w:r>
    </w:p>
    <w:p w:rsidR="00B75CCA" w:rsidRPr="008531E6" w:rsidRDefault="00B75CCA" w:rsidP="00AF6632">
      <w:pPr>
        <w:tabs>
          <w:tab w:val="left" w:pos="3680"/>
        </w:tabs>
        <w:jc w:val="both"/>
        <w:rPr>
          <w:rFonts w:asciiTheme="majorHAnsi" w:hAnsiTheme="majorHAnsi"/>
        </w:rPr>
      </w:pPr>
      <w:r w:rsidRPr="008531E6">
        <w:rPr>
          <w:rFonts w:asciiTheme="majorHAnsi" w:hAnsiTheme="majorHAnsi"/>
          <w:lang w:val="es-ES"/>
        </w:rPr>
        <w:t>La v</w:t>
      </w:r>
      <w:r w:rsidR="00C13C59" w:rsidRPr="008531E6">
        <w:rPr>
          <w:rFonts w:asciiTheme="majorHAnsi" w:hAnsiTheme="majorHAnsi"/>
          <w:lang w:val="es-ES"/>
        </w:rPr>
        <w:t>acunación en la infancia supone</w:t>
      </w:r>
      <w:r w:rsidRPr="008531E6">
        <w:rPr>
          <w:rFonts w:asciiTheme="majorHAnsi" w:hAnsiTheme="majorHAnsi"/>
        </w:rPr>
        <w:t xml:space="preserve"> un hito fundamental en la prevención de las enfermedades infectocontagiosas, con repercusión excepcional en la salud mundial. Su valor es incuestionable.</w:t>
      </w:r>
    </w:p>
    <w:p w:rsidR="00C13C59" w:rsidRPr="008531E6" w:rsidRDefault="00C13C59" w:rsidP="00AF6632">
      <w:pPr>
        <w:tabs>
          <w:tab w:val="left" w:pos="3680"/>
        </w:tabs>
        <w:jc w:val="both"/>
        <w:rPr>
          <w:rFonts w:asciiTheme="majorHAnsi" w:hAnsiTheme="majorHAnsi"/>
        </w:rPr>
      </w:pPr>
      <w:r w:rsidRPr="008531E6">
        <w:rPr>
          <w:rFonts w:asciiTheme="majorHAnsi" w:hAnsiTheme="majorHAnsi"/>
        </w:rPr>
        <w:t>Las vacunas son productos biológicos que contienen uno o varios antígenos que se administran con el objetivo de producir un estímulo inmunitario específico. Este estímulo pretende simular la infección natural, generando una respuesta inmunitaria específica en el sujeto, con el fin de protegerlo en ulteriores exposiciones al microorganismo (con el menor riesgo posible para el individuo).</w:t>
      </w:r>
    </w:p>
    <w:p w:rsidR="00C31718" w:rsidRPr="008531E6" w:rsidRDefault="00C31718" w:rsidP="00AF6632">
      <w:pPr>
        <w:tabs>
          <w:tab w:val="left" w:pos="3680"/>
        </w:tabs>
        <w:jc w:val="both"/>
        <w:rPr>
          <w:rFonts w:asciiTheme="majorHAnsi" w:hAnsiTheme="majorHAnsi"/>
          <w:b/>
        </w:rPr>
      </w:pPr>
      <w:r w:rsidRPr="008531E6">
        <w:rPr>
          <w:rFonts w:asciiTheme="majorHAnsi" w:hAnsiTheme="majorHAnsi"/>
          <w:b/>
        </w:rPr>
        <w:t>¿Debe vacunarse un niño con GA1?</w:t>
      </w:r>
    </w:p>
    <w:p w:rsidR="00C31718" w:rsidRPr="008531E6" w:rsidRDefault="005D7FF5" w:rsidP="00AF6632">
      <w:pPr>
        <w:tabs>
          <w:tab w:val="left" w:pos="3680"/>
        </w:tabs>
        <w:jc w:val="both"/>
        <w:rPr>
          <w:rFonts w:asciiTheme="majorHAnsi" w:hAnsiTheme="majorHAnsi"/>
        </w:rPr>
      </w:pPr>
      <w:r w:rsidRPr="008531E6">
        <w:rPr>
          <w:rFonts w:asciiTheme="majorHAnsi" w:hAnsiTheme="majorHAnsi"/>
        </w:rPr>
        <w:t>Sí.</w:t>
      </w:r>
      <w:r w:rsidR="00C31718" w:rsidRPr="008531E6">
        <w:rPr>
          <w:rFonts w:asciiTheme="majorHAnsi" w:hAnsiTheme="majorHAnsi"/>
        </w:rPr>
        <w:t xml:space="preserve"> </w:t>
      </w:r>
    </w:p>
    <w:p w:rsidR="005D7FF5" w:rsidRPr="008531E6" w:rsidRDefault="00C31718" w:rsidP="00AF6632">
      <w:pPr>
        <w:tabs>
          <w:tab w:val="left" w:pos="3680"/>
        </w:tabs>
        <w:jc w:val="both"/>
        <w:rPr>
          <w:rFonts w:asciiTheme="majorHAnsi" w:hAnsiTheme="majorHAnsi"/>
        </w:rPr>
      </w:pPr>
      <w:r w:rsidRPr="008531E6">
        <w:rPr>
          <w:rFonts w:asciiTheme="majorHAnsi" w:hAnsiTheme="majorHAnsi"/>
        </w:rPr>
        <w:t>Los pacientes con enfermedades crónicas</w:t>
      </w:r>
      <w:r w:rsidR="00C13C59" w:rsidRPr="008531E6">
        <w:rPr>
          <w:rFonts w:asciiTheme="majorHAnsi" w:hAnsiTheme="majorHAnsi"/>
        </w:rPr>
        <w:t xml:space="preserve"> deben cumplir unos calendarios de vacunaciones optimizados, ya que presentan mayor riesgo de padecer formas graves de la mayoría de las enfermedades inmunoprevenibles. Por diferentes motivos, en numerosas ocasiones, estos pacientes están </w:t>
      </w:r>
      <w:proofErr w:type="spellStart"/>
      <w:r w:rsidR="00C13C59" w:rsidRPr="008531E6">
        <w:rPr>
          <w:rFonts w:asciiTheme="majorHAnsi" w:hAnsiTheme="majorHAnsi"/>
        </w:rPr>
        <w:t>infravacunados</w:t>
      </w:r>
      <w:proofErr w:type="spellEnd"/>
      <w:r w:rsidR="00C13C59" w:rsidRPr="008531E6">
        <w:rPr>
          <w:rFonts w:asciiTheme="majorHAnsi" w:hAnsiTheme="majorHAnsi"/>
        </w:rPr>
        <w:t xml:space="preserve"> y en riesgo, por lo que se deben realizar esfuerzos para evitar estas situaciones.</w:t>
      </w:r>
    </w:p>
    <w:p w:rsidR="005D7FF5" w:rsidRPr="008531E6" w:rsidRDefault="005D7FF5" w:rsidP="00AF6632">
      <w:pPr>
        <w:tabs>
          <w:tab w:val="left" w:pos="3680"/>
        </w:tabs>
        <w:jc w:val="both"/>
        <w:rPr>
          <w:rFonts w:asciiTheme="majorHAnsi" w:hAnsiTheme="majorHAnsi"/>
          <w:b/>
        </w:rPr>
      </w:pPr>
      <w:r w:rsidRPr="008531E6">
        <w:rPr>
          <w:rFonts w:asciiTheme="majorHAnsi" w:hAnsiTheme="majorHAnsi"/>
          <w:b/>
        </w:rPr>
        <w:t>¿Debe recibir alguna vacuna especial un niño con GA1?</w:t>
      </w:r>
    </w:p>
    <w:p w:rsidR="005D7FF5" w:rsidRPr="008531E6" w:rsidRDefault="005D7FF5" w:rsidP="00AF6632">
      <w:pPr>
        <w:tabs>
          <w:tab w:val="left" w:pos="3680"/>
        </w:tabs>
        <w:jc w:val="both"/>
        <w:rPr>
          <w:rFonts w:asciiTheme="majorHAnsi" w:hAnsiTheme="majorHAnsi"/>
        </w:rPr>
      </w:pPr>
      <w:r w:rsidRPr="008531E6">
        <w:rPr>
          <w:rFonts w:asciiTheme="majorHAnsi" w:hAnsiTheme="majorHAnsi"/>
        </w:rPr>
        <w:t xml:space="preserve">Sí. </w:t>
      </w:r>
    </w:p>
    <w:p w:rsidR="00D46E0A" w:rsidRPr="008531E6" w:rsidRDefault="005D7FF5" w:rsidP="00D46E0A">
      <w:pPr>
        <w:numPr>
          <w:ilvl w:val="0"/>
          <w:numId w:val="1"/>
        </w:numPr>
        <w:tabs>
          <w:tab w:val="left" w:pos="3680"/>
        </w:tabs>
        <w:jc w:val="both"/>
        <w:rPr>
          <w:rFonts w:asciiTheme="majorHAnsi" w:hAnsiTheme="majorHAnsi"/>
        </w:rPr>
      </w:pPr>
      <w:r w:rsidRPr="008531E6">
        <w:rPr>
          <w:rFonts w:asciiTheme="majorHAnsi" w:hAnsiTheme="majorHAnsi"/>
          <w:b/>
          <w:bCs/>
        </w:rPr>
        <w:t>Gripe</w:t>
      </w:r>
      <w:r w:rsidRPr="008531E6">
        <w:rPr>
          <w:rFonts w:asciiTheme="majorHAnsi" w:hAnsiTheme="majorHAnsi"/>
        </w:rPr>
        <w:t>: anual, desde los 6 meses de edad</w:t>
      </w:r>
    </w:p>
    <w:p w:rsidR="00717324" w:rsidRPr="008531E6" w:rsidRDefault="00717324" w:rsidP="00AF6632">
      <w:pPr>
        <w:pStyle w:val="Prrafodelista"/>
        <w:numPr>
          <w:ilvl w:val="0"/>
          <w:numId w:val="2"/>
        </w:numPr>
        <w:tabs>
          <w:tab w:val="left" w:pos="3680"/>
        </w:tabs>
        <w:jc w:val="both"/>
        <w:rPr>
          <w:rFonts w:asciiTheme="majorHAnsi" w:hAnsiTheme="majorHAnsi"/>
          <w:b/>
        </w:rPr>
      </w:pPr>
      <w:r w:rsidRPr="008531E6">
        <w:rPr>
          <w:rFonts w:asciiTheme="majorHAnsi" w:hAnsiTheme="majorHAnsi"/>
          <w:b/>
        </w:rPr>
        <w:t>Convivientes</w:t>
      </w:r>
    </w:p>
    <w:p w:rsidR="00717324" w:rsidRPr="008531E6" w:rsidRDefault="00AF6632" w:rsidP="00AF6632">
      <w:pPr>
        <w:tabs>
          <w:tab w:val="left" w:pos="3680"/>
        </w:tabs>
        <w:jc w:val="both"/>
        <w:rPr>
          <w:rFonts w:asciiTheme="majorHAnsi" w:hAnsiTheme="majorHAnsi"/>
        </w:rPr>
      </w:pPr>
      <w:r w:rsidRPr="008531E6">
        <w:rPr>
          <w:rFonts w:asciiTheme="majorHAnsi" w:hAnsiTheme="majorHAnsi"/>
        </w:rPr>
        <w:t>D</w:t>
      </w:r>
      <w:r w:rsidR="00717324" w:rsidRPr="008531E6">
        <w:rPr>
          <w:rFonts w:asciiTheme="majorHAnsi" w:hAnsiTheme="majorHAnsi"/>
        </w:rPr>
        <w:t xml:space="preserve">ebe considerarse siempre la optimización de la vacunación en todos los </w:t>
      </w:r>
      <w:r w:rsidR="00717324" w:rsidRPr="008531E6">
        <w:rPr>
          <w:rStyle w:val="Textoennegrita"/>
          <w:rFonts w:asciiTheme="majorHAnsi" w:hAnsiTheme="majorHAnsi"/>
        </w:rPr>
        <w:t>convivientes</w:t>
      </w:r>
      <w:r w:rsidR="00717324" w:rsidRPr="008531E6">
        <w:rPr>
          <w:rFonts w:asciiTheme="majorHAnsi" w:hAnsiTheme="majorHAnsi"/>
        </w:rPr>
        <w:t xml:space="preserve"> de enfermos crónicos, tanto de las vacunas incluidas en el calendario oficial como de otras no sistemáticas como la de la gripe</w:t>
      </w:r>
      <w:r w:rsidR="00D46E0A" w:rsidRPr="008531E6">
        <w:rPr>
          <w:rFonts w:asciiTheme="majorHAnsi" w:hAnsiTheme="majorHAnsi"/>
        </w:rPr>
        <w:t xml:space="preserve"> anual</w:t>
      </w:r>
      <w:r w:rsidR="00717324" w:rsidRPr="008531E6">
        <w:rPr>
          <w:rFonts w:asciiTheme="majorHAnsi" w:hAnsiTheme="majorHAnsi"/>
        </w:rPr>
        <w:t xml:space="preserve"> y la de la varicela</w:t>
      </w:r>
    </w:p>
    <w:p w:rsidR="008A760B" w:rsidRPr="008531E6" w:rsidRDefault="002C597F" w:rsidP="00D46E0A">
      <w:pPr>
        <w:tabs>
          <w:tab w:val="left" w:pos="3680"/>
        </w:tabs>
        <w:jc w:val="both"/>
        <w:rPr>
          <w:rFonts w:asciiTheme="majorHAnsi" w:hAnsiTheme="majorHAnsi"/>
          <w:b/>
        </w:rPr>
      </w:pPr>
      <w:r w:rsidRPr="008531E6">
        <w:rPr>
          <w:rFonts w:asciiTheme="majorHAnsi" w:hAnsiTheme="majorHAnsi"/>
          <w:b/>
        </w:rPr>
        <w:t xml:space="preserve">¿Cómo debemos actuar </w:t>
      </w:r>
      <w:r w:rsidR="008A760B" w:rsidRPr="008531E6">
        <w:rPr>
          <w:rFonts w:asciiTheme="majorHAnsi" w:hAnsiTheme="majorHAnsi"/>
          <w:b/>
        </w:rPr>
        <w:t>si aparece una reacción vacunal?</w:t>
      </w:r>
    </w:p>
    <w:p w:rsidR="008A760B" w:rsidRPr="008531E6" w:rsidRDefault="008A760B" w:rsidP="00AF6632">
      <w:pPr>
        <w:tabs>
          <w:tab w:val="left" w:pos="3680"/>
        </w:tabs>
        <w:ind w:left="360"/>
        <w:jc w:val="both"/>
        <w:rPr>
          <w:rFonts w:asciiTheme="majorHAnsi" w:hAnsiTheme="majorHAnsi"/>
        </w:rPr>
      </w:pPr>
      <w:r w:rsidRPr="008531E6">
        <w:rPr>
          <w:rFonts w:asciiTheme="majorHAnsi" w:hAnsiTheme="majorHAnsi"/>
        </w:rPr>
        <w:t>Las reacciones vacunales pueden clasificarse según la siguiente tabla</w:t>
      </w:r>
    </w:p>
    <w:p w:rsidR="008A760B" w:rsidRPr="008531E6" w:rsidRDefault="008A760B" w:rsidP="00AF6632">
      <w:pPr>
        <w:tabs>
          <w:tab w:val="left" w:pos="3680"/>
        </w:tabs>
        <w:ind w:left="360"/>
        <w:jc w:val="both"/>
        <w:rPr>
          <w:rFonts w:asciiTheme="majorHAnsi" w:hAnsiTheme="majorHAnsi"/>
        </w:rPr>
      </w:pPr>
      <w:r w:rsidRPr="008531E6">
        <w:rPr>
          <w:rFonts w:asciiTheme="majorHAnsi" w:hAnsiTheme="majorHAnsi"/>
          <w:noProof/>
          <w:lang w:val="es-ES" w:eastAsia="es-ES"/>
        </w:rPr>
        <w:drawing>
          <wp:inline distT="0" distB="0" distL="0" distR="0" wp14:anchorId="515CE844" wp14:editId="744755E9">
            <wp:extent cx="5400040" cy="243157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431575"/>
                    </a:xfrm>
                    <a:prstGeom prst="rect">
                      <a:avLst/>
                    </a:prstGeom>
                  </pic:spPr>
                </pic:pic>
              </a:graphicData>
            </a:graphic>
          </wp:inline>
        </w:drawing>
      </w:r>
    </w:p>
    <w:p w:rsidR="008A760B" w:rsidRPr="008531E6" w:rsidRDefault="008A760B" w:rsidP="00AF6632">
      <w:pPr>
        <w:tabs>
          <w:tab w:val="left" w:pos="3680"/>
        </w:tabs>
        <w:jc w:val="both"/>
        <w:rPr>
          <w:rFonts w:asciiTheme="majorHAnsi" w:hAnsiTheme="majorHAnsi"/>
        </w:rPr>
      </w:pPr>
    </w:p>
    <w:p w:rsidR="002C597F" w:rsidRPr="008531E6" w:rsidRDefault="002C597F" w:rsidP="00AF6632">
      <w:pPr>
        <w:pStyle w:val="Prrafodelista"/>
        <w:numPr>
          <w:ilvl w:val="0"/>
          <w:numId w:val="5"/>
        </w:numPr>
        <w:tabs>
          <w:tab w:val="left" w:pos="3680"/>
        </w:tabs>
        <w:jc w:val="both"/>
        <w:rPr>
          <w:rFonts w:asciiTheme="majorHAnsi" w:hAnsiTheme="majorHAnsi"/>
        </w:rPr>
      </w:pPr>
      <w:r w:rsidRPr="008531E6">
        <w:rPr>
          <w:rFonts w:asciiTheme="majorHAnsi" w:hAnsiTheme="majorHAnsi"/>
        </w:rPr>
        <w:t>La mayoría de las vacunas pueden tener efectos leves tales como</w:t>
      </w:r>
      <w:r w:rsidR="00D46E0A" w:rsidRPr="008531E6">
        <w:rPr>
          <w:rFonts w:asciiTheme="majorHAnsi" w:hAnsiTheme="majorHAnsi"/>
        </w:rPr>
        <w:t xml:space="preserve">, dolor, enrojecimiento </w:t>
      </w:r>
      <w:r w:rsidRPr="008531E6">
        <w:rPr>
          <w:rFonts w:asciiTheme="majorHAnsi" w:hAnsiTheme="majorHAnsi"/>
        </w:rPr>
        <w:t>e hinchazón en la zona de la punción, que pueden ser anticipados durante el propio acto vacunal. Puede tratarse con analgésicos hab</w:t>
      </w:r>
      <w:bookmarkStart w:id="0" w:name="_GoBack"/>
      <w:bookmarkEnd w:id="0"/>
      <w:r w:rsidRPr="008531E6">
        <w:rPr>
          <w:rFonts w:asciiTheme="majorHAnsi" w:hAnsiTheme="majorHAnsi"/>
        </w:rPr>
        <w:t>ituales</w:t>
      </w:r>
    </w:p>
    <w:p w:rsidR="00D46E0A" w:rsidRPr="008531E6" w:rsidRDefault="00D46E0A" w:rsidP="00AF6632">
      <w:pPr>
        <w:pStyle w:val="Prrafodelista"/>
        <w:numPr>
          <w:ilvl w:val="0"/>
          <w:numId w:val="5"/>
        </w:numPr>
        <w:tabs>
          <w:tab w:val="left" w:pos="3680"/>
        </w:tabs>
        <w:jc w:val="both"/>
        <w:rPr>
          <w:rFonts w:asciiTheme="majorHAnsi" w:hAnsiTheme="majorHAnsi"/>
        </w:rPr>
      </w:pPr>
      <w:r w:rsidRPr="008531E6">
        <w:rPr>
          <w:rFonts w:asciiTheme="majorHAnsi" w:hAnsiTheme="majorHAnsi"/>
        </w:rPr>
        <w:t xml:space="preserve">Para prevenir la aparición de fiebre, puede administrarse una dosis de paracetamol a 10 mg/Kg a las 4-6 horas de la administración de la misma. </w:t>
      </w:r>
    </w:p>
    <w:p w:rsidR="00D46E0A" w:rsidRPr="008531E6" w:rsidRDefault="00D46E0A" w:rsidP="00D46E0A">
      <w:pPr>
        <w:pStyle w:val="Prrafodelista"/>
        <w:numPr>
          <w:ilvl w:val="0"/>
          <w:numId w:val="5"/>
        </w:numPr>
        <w:tabs>
          <w:tab w:val="left" w:pos="3680"/>
        </w:tabs>
        <w:jc w:val="both"/>
        <w:rPr>
          <w:rFonts w:asciiTheme="majorHAnsi" w:hAnsiTheme="majorHAnsi"/>
        </w:rPr>
      </w:pPr>
      <w:r w:rsidRPr="008531E6">
        <w:rPr>
          <w:rFonts w:asciiTheme="majorHAnsi" w:hAnsiTheme="majorHAnsi"/>
        </w:rPr>
        <w:t xml:space="preserve">Existen vacunas que producen con más frecuencia reacción febril, como la vacuna para Meningococo B. Está indicado poner paracetamol profiláctico y se administrará separada de la vacuna </w:t>
      </w:r>
      <w:proofErr w:type="spellStart"/>
      <w:r w:rsidRPr="008531E6">
        <w:rPr>
          <w:rFonts w:asciiTheme="majorHAnsi" w:hAnsiTheme="majorHAnsi"/>
        </w:rPr>
        <w:t>antineumócica</w:t>
      </w:r>
      <w:proofErr w:type="spellEnd"/>
      <w:r w:rsidRPr="008531E6">
        <w:rPr>
          <w:rFonts w:asciiTheme="majorHAnsi" w:hAnsiTheme="majorHAnsi"/>
        </w:rPr>
        <w:t xml:space="preserve">. </w:t>
      </w:r>
    </w:p>
    <w:p w:rsidR="002C597F" w:rsidRPr="008531E6" w:rsidRDefault="002C597F" w:rsidP="00AF6632">
      <w:pPr>
        <w:pStyle w:val="Prrafodelista"/>
        <w:numPr>
          <w:ilvl w:val="0"/>
          <w:numId w:val="5"/>
        </w:numPr>
        <w:tabs>
          <w:tab w:val="left" w:pos="3680"/>
        </w:tabs>
        <w:jc w:val="both"/>
        <w:rPr>
          <w:rFonts w:asciiTheme="majorHAnsi" w:hAnsiTheme="majorHAnsi"/>
        </w:rPr>
      </w:pPr>
      <w:r w:rsidRPr="008531E6">
        <w:rPr>
          <w:rFonts w:asciiTheme="majorHAnsi" w:hAnsiTheme="majorHAnsi"/>
        </w:rPr>
        <w:t xml:space="preserve">Si aparece fiebre &gt;38ºC: </w:t>
      </w:r>
    </w:p>
    <w:p w:rsidR="002C597F" w:rsidRPr="008531E6" w:rsidRDefault="002C597F" w:rsidP="00AF6632">
      <w:pPr>
        <w:pStyle w:val="Prrafodelista"/>
        <w:numPr>
          <w:ilvl w:val="1"/>
          <w:numId w:val="5"/>
        </w:numPr>
        <w:tabs>
          <w:tab w:val="left" w:pos="3680"/>
        </w:tabs>
        <w:jc w:val="both"/>
        <w:rPr>
          <w:rFonts w:asciiTheme="majorHAnsi" w:hAnsiTheme="majorHAnsi"/>
        </w:rPr>
      </w:pPr>
      <w:r w:rsidRPr="008531E6">
        <w:rPr>
          <w:rFonts w:asciiTheme="majorHAnsi" w:hAnsiTheme="majorHAnsi"/>
        </w:rPr>
        <w:t xml:space="preserve">Como ante cualquier otra situación, la fiebre aumenta el riesgo de descompensación metabólica y crisis </w:t>
      </w:r>
      <w:proofErr w:type="spellStart"/>
      <w:r w:rsidRPr="008531E6">
        <w:rPr>
          <w:rFonts w:asciiTheme="majorHAnsi" w:hAnsiTheme="majorHAnsi"/>
        </w:rPr>
        <w:t>encefalopática</w:t>
      </w:r>
      <w:proofErr w:type="spellEnd"/>
    </w:p>
    <w:p w:rsidR="002C597F" w:rsidRPr="008531E6" w:rsidRDefault="002C597F" w:rsidP="00AF6632">
      <w:pPr>
        <w:pStyle w:val="Prrafodelista"/>
        <w:numPr>
          <w:ilvl w:val="1"/>
          <w:numId w:val="5"/>
        </w:numPr>
        <w:tabs>
          <w:tab w:val="left" w:pos="3680"/>
        </w:tabs>
        <w:jc w:val="both"/>
        <w:rPr>
          <w:rFonts w:asciiTheme="majorHAnsi" w:hAnsiTheme="majorHAnsi"/>
        </w:rPr>
      </w:pPr>
      <w:r w:rsidRPr="008531E6">
        <w:rPr>
          <w:rFonts w:asciiTheme="majorHAnsi" w:hAnsiTheme="majorHAnsi"/>
        </w:rPr>
        <w:t>Debe tratarse de forma enérgica con los antitérmicos habituales (paracetamol, ibuprofeno), especialmente si aparece fiebre &gt; 38,5ºC</w:t>
      </w:r>
    </w:p>
    <w:p w:rsidR="002C597F" w:rsidRPr="008531E6" w:rsidRDefault="002C597F" w:rsidP="00AF6632">
      <w:pPr>
        <w:tabs>
          <w:tab w:val="left" w:pos="3680"/>
        </w:tabs>
        <w:jc w:val="both"/>
        <w:rPr>
          <w:rFonts w:asciiTheme="majorHAnsi" w:hAnsiTheme="majorHAnsi"/>
          <w:b/>
        </w:rPr>
      </w:pPr>
      <w:r w:rsidRPr="008531E6">
        <w:rPr>
          <w:rFonts w:asciiTheme="majorHAnsi" w:hAnsiTheme="majorHAnsi"/>
          <w:b/>
        </w:rPr>
        <w:t>¿Debe in</w:t>
      </w:r>
      <w:r w:rsidR="00D46E0A" w:rsidRPr="008531E6">
        <w:rPr>
          <w:rFonts w:asciiTheme="majorHAnsi" w:hAnsiTheme="majorHAnsi"/>
          <w:b/>
        </w:rPr>
        <w:t>i</w:t>
      </w:r>
      <w:r w:rsidRPr="008531E6">
        <w:rPr>
          <w:rFonts w:asciiTheme="majorHAnsi" w:hAnsiTheme="majorHAnsi"/>
          <w:b/>
        </w:rPr>
        <w:t>ciarse régimen de emergencia en caso de reacción vacunal?</w:t>
      </w:r>
    </w:p>
    <w:p w:rsidR="002C597F" w:rsidRPr="008531E6" w:rsidRDefault="002C597F" w:rsidP="00AF6632">
      <w:pPr>
        <w:tabs>
          <w:tab w:val="left" w:pos="3680"/>
        </w:tabs>
        <w:jc w:val="both"/>
        <w:rPr>
          <w:rFonts w:asciiTheme="majorHAnsi" w:hAnsiTheme="majorHAnsi"/>
        </w:rPr>
      </w:pPr>
      <w:r w:rsidRPr="008531E6">
        <w:rPr>
          <w:rFonts w:asciiTheme="majorHAnsi" w:hAnsiTheme="majorHAnsi"/>
        </w:rPr>
        <w:t>Si tras la vacuna no aparece ninguna sintomatología, el paciente puede continuar con su tratamiento</w:t>
      </w:r>
      <w:r w:rsidR="00D46E0A" w:rsidRPr="008531E6">
        <w:rPr>
          <w:rFonts w:asciiTheme="majorHAnsi" w:hAnsiTheme="majorHAnsi"/>
        </w:rPr>
        <w:t xml:space="preserve"> y dieta habitual</w:t>
      </w:r>
      <w:r w:rsidRPr="008531E6">
        <w:rPr>
          <w:rFonts w:asciiTheme="majorHAnsi" w:hAnsiTheme="majorHAnsi"/>
        </w:rPr>
        <w:t xml:space="preserve"> </w:t>
      </w:r>
      <w:proofErr w:type="spellStart"/>
      <w:r w:rsidRPr="008531E6">
        <w:rPr>
          <w:rFonts w:asciiTheme="majorHAnsi" w:hAnsiTheme="majorHAnsi"/>
        </w:rPr>
        <w:t>habitual</w:t>
      </w:r>
      <w:proofErr w:type="spellEnd"/>
      <w:r w:rsidRPr="008531E6">
        <w:rPr>
          <w:rFonts w:asciiTheme="majorHAnsi" w:hAnsiTheme="majorHAnsi"/>
        </w:rPr>
        <w:t xml:space="preserve">. </w:t>
      </w:r>
    </w:p>
    <w:p w:rsidR="002C597F" w:rsidRPr="008531E6" w:rsidRDefault="002C597F" w:rsidP="00AF6632">
      <w:pPr>
        <w:tabs>
          <w:tab w:val="left" w:pos="3680"/>
        </w:tabs>
        <w:jc w:val="both"/>
        <w:rPr>
          <w:rFonts w:asciiTheme="majorHAnsi" w:hAnsiTheme="majorHAnsi"/>
        </w:rPr>
      </w:pPr>
      <w:r w:rsidRPr="008531E6">
        <w:rPr>
          <w:rFonts w:asciiTheme="majorHAnsi" w:hAnsiTheme="majorHAnsi"/>
        </w:rPr>
        <w:t xml:space="preserve">Si nos encontrásemos ante una situación de fiebre &gt;38ºC, se debe iniciar descenso del aporte de proteínas naturales en la dieta, mediante el régimen de emergencia facilitado por sus especialistas habituales. Se debe poner en contacto con sus médicos </w:t>
      </w:r>
      <w:proofErr w:type="spellStart"/>
      <w:r w:rsidRPr="008531E6">
        <w:rPr>
          <w:rFonts w:asciiTheme="majorHAnsi" w:hAnsiTheme="majorHAnsi"/>
        </w:rPr>
        <w:t>especialiastas</w:t>
      </w:r>
      <w:proofErr w:type="spellEnd"/>
      <w:r w:rsidRPr="008531E6">
        <w:rPr>
          <w:rFonts w:asciiTheme="majorHAnsi" w:hAnsiTheme="majorHAnsi"/>
        </w:rPr>
        <w:t xml:space="preserve"> en enfermedades metabólicas. </w:t>
      </w:r>
    </w:p>
    <w:p w:rsidR="002C597F" w:rsidRPr="008531E6" w:rsidRDefault="002C597F" w:rsidP="00AF6632">
      <w:pPr>
        <w:tabs>
          <w:tab w:val="left" w:pos="3680"/>
        </w:tabs>
        <w:jc w:val="both"/>
        <w:rPr>
          <w:rFonts w:asciiTheme="majorHAnsi" w:hAnsiTheme="majorHAnsi"/>
          <w:b/>
        </w:rPr>
      </w:pPr>
      <w:r w:rsidRPr="008531E6">
        <w:rPr>
          <w:rFonts w:asciiTheme="majorHAnsi" w:hAnsiTheme="majorHAnsi"/>
          <w:b/>
        </w:rPr>
        <w:t>¿Cuándo debe acudir al hospital?</w:t>
      </w:r>
    </w:p>
    <w:p w:rsidR="002C597F" w:rsidRPr="008531E6" w:rsidRDefault="002C597F" w:rsidP="00AF6632">
      <w:pPr>
        <w:tabs>
          <w:tab w:val="left" w:pos="3680"/>
        </w:tabs>
        <w:jc w:val="both"/>
        <w:rPr>
          <w:rFonts w:asciiTheme="majorHAnsi" w:hAnsiTheme="majorHAnsi"/>
        </w:rPr>
      </w:pPr>
      <w:r w:rsidRPr="008531E6">
        <w:rPr>
          <w:rFonts w:asciiTheme="majorHAnsi" w:hAnsiTheme="majorHAnsi"/>
        </w:rPr>
        <w:t xml:space="preserve">Como para otras situaciones, el régimen de emergencia ambulatorio debe usarse </w:t>
      </w:r>
      <w:r w:rsidR="00AF6632" w:rsidRPr="008531E6">
        <w:rPr>
          <w:rFonts w:asciiTheme="majorHAnsi" w:hAnsiTheme="majorHAnsi"/>
        </w:rPr>
        <w:t xml:space="preserve">para episodios que aumenten el catabolismo leves y de corta duración. </w:t>
      </w:r>
    </w:p>
    <w:p w:rsidR="00E807FF" w:rsidRDefault="00AF6632" w:rsidP="00AF6632">
      <w:pPr>
        <w:tabs>
          <w:tab w:val="left" w:pos="3680"/>
        </w:tabs>
        <w:jc w:val="both"/>
        <w:rPr>
          <w:rFonts w:asciiTheme="majorHAnsi" w:hAnsiTheme="majorHAnsi"/>
        </w:rPr>
      </w:pPr>
      <w:r w:rsidRPr="008531E6">
        <w:rPr>
          <w:rFonts w:asciiTheme="majorHAnsi" w:hAnsiTheme="majorHAnsi"/>
        </w:rPr>
        <w:t xml:space="preserve">Si </w:t>
      </w:r>
      <w:r w:rsidR="00D46E0A" w:rsidRPr="008531E6">
        <w:rPr>
          <w:rFonts w:asciiTheme="majorHAnsi" w:hAnsiTheme="majorHAnsi"/>
        </w:rPr>
        <w:t xml:space="preserve">la fiebre es alta (&gt;38,5ºC), </w:t>
      </w:r>
      <w:r w:rsidRPr="008531E6">
        <w:rPr>
          <w:rFonts w:asciiTheme="majorHAnsi" w:hAnsiTheme="majorHAnsi"/>
        </w:rPr>
        <w:t xml:space="preserve">persiste fiebre &gt;24-48 horas, el niño se encuentra decaído o excesivamente irritable, no evoluciona de manera adecuada o sus médicos habituales se lo indican, deberá acudir al Hospital para proseguir con el tratamiento. </w:t>
      </w:r>
    </w:p>
    <w:p w:rsidR="008531E6" w:rsidRPr="000C614D" w:rsidRDefault="008531E6" w:rsidP="00AF6632">
      <w:pPr>
        <w:tabs>
          <w:tab w:val="left" w:pos="3680"/>
        </w:tabs>
        <w:jc w:val="both"/>
        <w:rPr>
          <w:rFonts w:asciiTheme="majorHAnsi" w:hAnsiTheme="majorHAnsi"/>
          <w:b/>
        </w:rPr>
      </w:pPr>
    </w:p>
    <w:p w:rsidR="008531E6" w:rsidRPr="000C614D" w:rsidRDefault="008531E6" w:rsidP="00AF6632">
      <w:pPr>
        <w:tabs>
          <w:tab w:val="left" w:pos="3680"/>
        </w:tabs>
        <w:jc w:val="both"/>
        <w:rPr>
          <w:rFonts w:asciiTheme="majorHAnsi" w:hAnsiTheme="majorHAnsi"/>
          <w:b/>
        </w:rPr>
      </w:pPr>
      <w:r w:rsidRPr="000C614D">
        <w:rPr>
          <w:rFonts w:asciiTheme="majorHAnsi" w:hAnsiTheme="majorHAnsi"/>
          <w:b/>
        </w:rPr>
        <w:t xml:space="preserve">En la actual situación de pandemia por </w:t>
      </w:r>
      <w:r w:rsidR="00454CD0" w:rsidRPr="000C614D">
        <w:rPr>
          <w:rFonts w:asciiTheme="majorHAnsi" w:hAnsiTheme="majorHAnsi"/>
          <w:b/>
        </w:rPr>
        <w:t xml:space="preserve">el virus SARS Co-V se está priorizando </w:t>
      </w:r>
      <w:r w:rsidR="000C614D" w:rsidRPr="000C614D">
        <w:rPr>
          <w:rFonts w:asciiTheme="majorHAnsi" w:hAnsiTheme="majorHAnsi"/>
          <w:b/>
        </w:rPr>
        <w:t xml:space="preserve">la vacunación durante los primeros 15 meses de vida. </w:t>
      </w:r>
    </w:p>
    <w:p w:rsidR="00E807FF" w:rsidRPr="008531E6" w:rsidRDefault="00E807FF" w:rsidP="00AF6632">
      <w:pPr>
        <w:tabs>
          <w:tab w:val="left" w:pos="3680"/>
        </w:tabs>
        <w:jc w:val="both"/>
        <w:rPr>
          <w:rFonts w:asciiTheme="majorHAnsi" w:hAnsiTheme="majorHAnsi"/>
          <w:u w:val="single"/>
        </w:rPr>
      </w:pPr>
    </w:p>
    <w:p w:rsidR="00A21194" w:rsidRPr="008531E6" w:rsidRDefault="00A21194" w:rsidP="00AF6632">
      <w:pPr>
        <w:tabs>
          <w:tab w:val="left" w:pos="3680"/>
        </w:tabs>
        <w:jc w:val="both"/>
        <w:rPr>
          <w:rFonts w:asciiTheme="majorHAnsi" w:hAnsiTheme="majorHAnsi"/>
          <w:u w:val="single"/>
        </w:rPr>
      </w:pPr>
      <w:r w:rsidRPr="008531E6">
        <w:rPr>
          <w:rFonts w:asciiTheme="majorHAnsi" w:hAnsiTheme="majorHAnsi"/>
          <w:u w:val="single"/>
        </w:rPr>
        <w:t>Referencias</w:t>
      </w:r>
    </w:p>
    <w:p w:rsidR="00A21194" w:rsidRPr="008531E6" w:rsidRDefault="00A21194" w:rsidP="00A21194">
      <w:pPr>
        <w:pStyle w:val="Prrafodelista"/>
        <w:numPr>
          <w:ilvl w:val="0"/>
          <w:numId w:val="6"/>
        </w:numPr>
        <w:tabs>
          <w:tab w:val="left" w:pos="3680"/>
        </w:tabs>
        <w:jc w:val="both"/>
        <w:rPr>
          <w:rFonts w:asciiTheme="majorHAnsi" w:hAnsiTheme="majorHAnsi"/>
        </w:rPr>
      </w:pPr>
      <w:r w:rsidRPr="008531E6">
        <w:rPr>
          <w:rFonts w:asciiTheme="majorHAnsi" w:hAnsiTheme="majorHAnsi"/>
        </w:rPr>
        <w:t xml:space="preserve">Manual de vacunas en línea de </w:t>
      </w:r>
      <w:proofErr w:type="spellStart"/>
      <w:r w:rsidRPr="008531E6">
        <w:rPr>
          <w:rFonts w:asciiTheme="majorHAnsi" w:hAnsiTheme="majorHAnsi"/>
        </w:rPr>
        <w:t>AEP</w:t>
      </w:r>
      <w:proofErr w:type="spellEnd"/>
    </w:p>
    <w:p w:rsidR="00A21194" w:rsidRPr="008531E6" w:rsidRDefault="00A21194" w:rsidP="00A21194">
      <w:pPr>
        <w:pStyle w:val="Prrafodelista"/>
        <w:numPr>
          <w:ilvl w:val="0"/>
          <w:numId w:val="6"/>
        </w:numPr>
        <w:tabs>
          <w:tab w:val="left" w:pos="3680"/>
        </w:tabs>
        <w:jc w:val="both"/>
        <w:rPr>
          <w:rFonts w:asciiTheme="majorHAnsi" w:hAnsiTheme="majorHAnsi"/>
        </w:rPr>
      </w:pPr>
      <w:hyperlink r:id="rId9" w:history="1">
        <w:proofErr w:type="spellStart"/>
        <w:r w:rsidRPr="008531E6">
          <w:rPr>
            <w:rStyle w:val="Hipervnculo"/>
            <w:rFonts w:asciiTheme="majorHAnsi" w:hAnsiTheme="majorHAnsi" w:cs="Arial"/>
            <w:color w:val="auto"/>
            <w:u w:val="none"/>
          </w:rPr>
          <w:t>Cerutti</w:t>
        </w:r>
        <w:proofErr w:type="spellEnd"/>
        <w:r w:rsidRPr="008531E6">
          <w:rPr>
            <w:rStyle w:val="Hipervnculo"/>
            <w:rFonts w:asciiTheme="majorHAnsi" w:hAnsiTheme="majorHAnsi" w:cs="Arial"/>
            <w:color w:val="auto"/>
            <w:u w:val="none"/>
          </w:rPr>
          <w:t xml:space="preserve"> M</w:t>
        </w:r>
      </w:hyperlink>
      <w:r w:rsidRPr="008531E6">
        <w:rPr>
          <w:rFonts w:asciiTheme="majorHAnsi" w:hAnsiTheme="majorHAnsi" w:cs="Arial"/>
        </w:rPr>
        <w:t>, </w:t>
      </w:r>
      <w:hyperlink r:id="rId10" w:history="1">
        <w:r w:rsidRPr="008531E6">
          <w:rPr>
            <w:rStyle w:val="Hipervnculo"/>
            <w:rFonts w:asciiTheme="majorHAnsi" w:hAnsiTheme="majorHAnsi" w:cs="Arial"/>
            <w:color w:val="auto"/>
            <w:u w:val="none"/>
          </w:rPr>
          <w:t xml:space="preserve">De </w:t>
        </w:r>
        <w:proofErr w:type="spellStart"/>
        <w:r w:rsidRPr="008531E6">
          <w:rPr>
            <w:rStyle w:val="Hipervnculo"/>
            <w:rFonts w:asciiTheme="majorHAnsi" w:hAnsiTheme="majorHAnsi" w:cs="Arial"/>
            <w:color w:val="auto"/>
            <w:u w:val="none"/>
          </w:rPr>
          <w:t>Lonlay</w:t>
        </w:r>
        <w:proofErr w:type="spellEnd"/>
        <w:r w:rsidRPr="008531E6">
          <w:rPr>
            <w:rStyle w:val="Hipervnculo"/>
            <w:rFonts w:asciiTheme="majorHAnsi" w:hAnsiTheme="majorHAnsi" w:cs="Arial"/>
            <w:color w:val="auto"/>
            <w:u w:val="none"/>
          </w:rPr>
          <w:t xml:space="preserve"> P</w:t>
        </w:r>
      </w:hyperlink>
      <w:r w:rsidRPr="008531E6">
        <w:rPr>
          <w:rFonts w:asciiTheme="majorHAnsi" w:hAnsiTheme="majorHAnsi" w:cs="Arial"/>
        </w:rPr>
        <w:t>, </w:t>
      </w:r>
      <w:proofErr w:type="spellStart"/>
      <w:r w:rsidRPr="008531E6">
        <w:rPr>
          <w:rFonts w:asciiTheme="majorHAnsi" w:hAnsiTheme="majorHAnsi" w:cs="Arial"/>
        </w:rPr>
        <w:fldChar w:fldCharType="begin"/>
      </w:r>
      <w:r w:rsidRPr="008531E6">
        <w:rPr>
          <w:rFonts w:asciiTheme="majorHAnsi" w:hAnsiTheme="majorHAnsi" w:cs="Arial"/>
        </w:rPr>
        <w:instrText xml:space="preserve"> HYPERLINK "https://www.ncbi.nlm.nih.gov/pubmed/?term=Menni%20F%5BAuthor%5D&amp;cauthor=true&amp;cauthor_uid=26514424" </w:instrText>
      </w:r>
      <w:r w:rsidRPr="008531E6">
        <w:rPr>
          <w:rFonts w:asciiTheme="majorHAnsi" w:hAnsiTheme="majorHAnsi" w:cs="Arial"/>
        </w:rPr>
        <w:fldChar w:fldCharType="separate"/>
      </w:r>
      <w:r w:rsidRPr="008531E6">
        <w:rPr>
          <w:rStyle w:val="Hipervnculo"/>
          <w:rFonts w:asciiTheme="majorHAnsi" w:hAnsiTheme="majorHAnsi" w:cs="Arial"/>
          <w:color w:val="auto"/>
          <w:u w:val="none"/>
        </w:rPr>
        <w:t>Menni</w:t>
      </w:r>
      <w:proofErr w:type="spellEnd"/>
      <w:r w:rsidRPr="008531E6">
        <w:rPr>
          <w:rStyle w:val="Hipervnculo"/>
          <w:rFonts w:asciiTheme="majorHAnsi" w:hAnsiTheme="majorHAnsi" w:cs="Arial"/>
          <w:color w:val="auto"/>
          <w:u w:val="none"/>
        </w:rPr>
        <w:t xml:space="preserve"> F</w:t>
      </w:r>
      <w:r w:rsidRPr="008531E6">
        <w:rPr>
          <w:rFonts w:asciiTheme="majorHAnsi" w:hAnsiTheme="majorHAnsi" w:cs="Arial"/>
        </w:rPr>
        <w:fldChar w:fldCharType="end"/>
      </w:r>
      <w:r w:rsidRPr="008531E6">
        <w:rPr>
          <w:rFonts w:asciiTheme="majorHAnsi" w:hAnsiTheme="majorHAnsi" w:cs="Arial"/>
        </w:rPr>
        <w:t>, </w:t>
      </w:r>
      <w:proofErr w:type="spellStart"/>
      <w:r w:rsidRPr="008531E6">
        <w:rPr>
          <w:rFonts w:asciiTheme="majorHAnsi" w:hAnsiTheme="majorHAnsi" w:cs="Arial"/>
        </w:rPr>
        <w:fldChar w:fldCharType="begin"/>
      </w:r>
      <w:r w:rsidRPr="008531E6">
        <w:rPr>
          <w:rFonts w:asciiTheme="majorHAnsi" w:hAnsiTheme="majorHAnsi" w:cs="Arial"/>
        </w:rPr>
        <w:instrText xml:space="preserve"> HYPERLINK "https://www.ncbi.nlm.nih.gov/pubmed/?term=Parini%20R%5BAuthor%5D&amp;cauthor=true&amp;cauthor_uid=26514424" </w:instrText>
      </w:r>
      <w:r w:rsidRPr="008531E6">
        <w:rPr>
          <w:rFonts w:asciiTheme="majorHAnsi" w:hAnsiTheme="majorHAnsi" w:cs="Arial"/>
        </w:rPr>
        <w:fldChar w:fldCharType="separate"/>
      </w:r>
      <w:r w:rsidRPr="008531E6">
        <w:rPr>
          <w:rStyle w:val="Hipervnculo"/>
          <w:rFonts w:asciiTheme="majorHAnsi" w:hAnsiTheme="majorHAnsi" w:cs="Arial"/>
          <w:color w:val="auto"/>
          <w:u w:val="none"/>
        </w:rPr>
        <w:t>Parini</w:t>
      </w:r>
      <w:proofErr w:type="spellEnd"/>
      <w:r w:rsidRPr="008531E6">
        <w:rPr>
          <w:rStyle w:val="Hipervnculo"/>
          <w:rFonts w:asciiTheme="majorHAnsi" w:hAnsiTheme="majorHAnsi" w:cs="Arial"/>
          <w:color w:val="auto"/>
          <w:u w:val="none"/>
        </w:rPr>
        <w:t xml:space="preserve"> R</w:t>
      </w:r>
      <w:r w:rsidRPr="008531E6">
        <w:rPr>
          <w:rFonts w:asciiTheme="majorHAnsi" w:hAnsiTheme="majorHAnsi" w:cs="Arial"/>
        </w:rPr>
        <w:fldChar w:fldCharType="end"/>
      </w:r>
      <w:r w:rsidRPr="008531E6">
        <w:rPr>
          <w:rFonts w:asciiTheme="majorHAnsi" w:hAnsiTheme="majorHAnsi" w:cs="Arial"/>
        </w:rPr>
        <w:t>, </w:t>
      </w:r>
      <w:hyperlink r:id="rId11" w:history="1">
        <w:proofErr w:type="spellStart"/>
        <w:r w:rsidRPr="008531E6">
          <w:rPr>
            <w:rStyle w:val="Hipervnculo"/>
            <w:rFonts w:asciiTheme="majorHAnsi" w:hAnsiTheme="majorHAnsi" w:cs="Arial"/>
            <w:color w:val="auto"/>
            <w:u w:val="none"/>
          </w:rPr>
          <w:t>Principi</w:t>
        </w:r>
        <w:proofErr w:type="spellEnd"/>
        <w:r w:rsidRPr="008531E6">
          <w:rPr>
            <w:rStyle w:val="Hipervnculo"/>
            <w:rFonts w:asciiTheme="majorHAnsi" w:hAnsiTheme="majorHAnsi" w:cs="Arial"/>
            <w:color w:val="auto"/>
            <w:u w:val="none"/>
          </w:rPr>
          <w:t xml:space="preserve"> N</w:t>
        </w:r>
      </w:hyperlink>
      <w:r w:rsidRPr="008531E6">
        <w:rPr>
          <w:rFonts w:asciiTheme="majorHAnsi" w:hAnsiTheme="majorHAnsi" w:cs="Arial"/>
        </w:rPr>
        <w:t>, </w:t>
      </w:r>
      <w:hyperlink r:id="rId12" w:history="1">
        <w:r w:rsidRPr="008531E6">
          <w:rPr>
            <w:rStyle w:val="Hipervnculo"/>
            <w:rFonts w:asciiTheme="majorHAnsi" w:hAnsiTheme="majorHAnsi" w:cs="Arial"/>
            <w:color w:val="auto"/>
            <w:u w:val="none"/>
          </w:rPr>
          <w:t>Esposito S</w:t>
        </w:r>
      </w:hyperlink>
      <w:r w:rsidRPr="008531E6">
        <w:rPr>
          <w:rFonts w:asciiTheme="majorHAnsi" w:hAnsiTheme="majorHAnsi" w:cs="Arial"/>
        </w:rPr>
        <w:t>.</w:t>
      </w:r>
      <w:r w:rsidRPr="008531E6">
        <w:rPr>
          <w:rFonts w:asciiTheme="majorHAnsi" w:hAnsiTheme="majorHAnsi" w:cs="Arial"/>
        </w:rPr>
        <w:t xml:space="preserve"> </w:t>
      </w:r>
      <w:proofErr w:type="spellStart"/>
      <w:r w:rsidRPr="008531E6">
        <w:rPr>
          <w:rFonts w:asciiTheme="majorHAnsi" w:hAnsiTheme="majorHAnsi" w:cs="Arial"/>
        </w:rPr>
        <w:t>Vaccination</w:t>
      </w:r>
      <w:proofErr w:type="spellEnd"/>
      <w:r w:rsidRPr="008531E6">
        <w:rPr>
          <w:rFonts w:asciiTheme="majorHAnsi" w:hAnsiTheme="majorHAnsi" w:cs="Arial"/>
        </w:rPr>
        <w:t xml:space="preserve"> </w:t>
      </w:r>
      <w:proofErr w:type="spellStart"/>
      <w:r w:rsidRPr="008531E6">
        <w:rPr>
          <w:rFonts w:asciiTheme="majorHAnsi" w:hAnsiTheme="majorHAnsi" w:cs="Arial"/>
        </w:rPr>
        <w:t>coverage</w:t>
      </w:r>
      <w:proofErr w:type="spellEnd"/>
      <w:r w:rsidRPr="008531E6">
        <w:rPr>
          <w:rFonts w:asciiTheme="majorHAnsi" w:hAnsiTheme="majorHAnsi" w:cs="Arial"/>
        </w:rPr>
        <w:t xml:space="preserve"> of </w:t>
      </w:r>
      <w:proofErr w:type="spellStart"/>
      <w:r w:rsidRPr="008531E6">
        <w:rPr>
          <w:rFonts w:asciiTheme="majorHAnsi" w:hAnsiTheme="majorHAnsi" w:cs="Arial"/>
        </w:rPr>
        <w:t>patients</w:t>
      </w:r>
      <w:proofErr w:type="spellEnd"/>
      <w:r w:rsidRPr="008531E6">
        <w:rPr>
          <w:rFonts w:asciiTheme="majorHAnsi" w:hAnsiTheme="majorHAnsi" w:cs="Arial"/>
        </w:rPr>
        <w:t xml:space="preserve"> </w:t>
      </w:r>
      <w:proofErr w:type="spellStart"/>
      <w:r w:rsidRPr="008531E6">
        <w:rPr>
          <w:rFonts w:asciiTheme="majorHAnsi" w:hAnsiTheme="majorHAnsi" w:cs="Arial"/>
        </w:rPr>
        <w:t>with</w:t>
      </w:r>
      <w:proofErr w:type="spellEnd"/>
      <w:r w:rsidRPr="008531E6">
        <w:rPr>
          <w:rFonts w:asciiTheme="majorHAnsi" w:hAnsiTheme="majorHAnsi" w:cs="Arial"/>
        </w:rPr>
        <w:t> </w:t>
      </w:r>
      <w:proofErr w:type="spellStart"/>
      <w:r w:rsidRPr="008531E6">
        <w:rPr>
          <w:rFonts w:asciiTheme="majorHAnsi" w:hAnsiTheme="majorHAnsi" w:cs="Arial"/>
        </w:rPr>
        <w:t>inborn</w:t>
      </w:r>
      <w:proofErr w:type="spellEnd"/>
      <w:r w:rsidRPr="008531E6">
        <w:rPr>
          <w:rFonts w:asciiTheme="majorHAnsi" w:hAnsiTheme="majorHAnsi" w:cs="Arial"/>
        </w:rPr>
        <w:t> </w:t>
      </w:r>
      <w:proofErr w:type="spellStart"/>
      <w:r w:rsidRPr="008531E6">
        <w:rPr>
          <w:rFonts w:asciiTheme="majorHAnsi" w:hAnsiTheme="majorHAnsi" w:cs="Arial"/>
        </w:rPr>
        <w:t>errors</w:t>
      </w:r>
      <w:proofErr w:type="spellEnd"/>
      <w:r w:rsidRPr="008531E6">
        <w:rPr>
          <w:rFonts w:asciiTheme="majorHAnsi" w:hAnsiTheme="majorHAnsi" w:cs="Arial"/>
        </w:rPr>
        <w:t> of </w:t>
      </w:r>
      <w:proofErr w:type="spellStart"/>
      <w:r w:rsidRPr="008531E6">
        <w:rPr>
          <w:rFonts w:asciiTheme="majorHAnsi" w:hAnsiTheme="majorHAnsi" w:cs="Arial"/>
        </w:rPr>
        <w:t>metabolism</w:t>
      </w:r>
      <w:proofErr w:type="spellEnd"/>
      <w:r w:rsidRPr="008531E6">
        <w:rPr>
          <w:rFonts w:asciiTheme="majorHAnsi" w:hAnsiTheme="majorHAnsi" w:cs="Arial"/>
        </w:rPr>
        <w:t xml:space="preserve"> and </w:t>
      </w:r>
      <w:proofErr w:type="spellStart"/>
      <w:r w:rsidRPr="008531E6">
        <w:rPr>
          <w:rFonts w:asciiTheme="majorHAnsi" w:hAnsiTheme="majorHAnsi" w:cs="Arial"/>
        </w:rPr>
        <w:t>the</w:t>
      </w:r>
      <w:proofErr w:type="spellEnd"/>
      <w:r w:rsidRPr="008531E6">
        <w:rPr>
          <w:rFonts w:asciiTheme="majorHAnsi" w:hAnsiTheme="majorHAnsi" w:cs="Arial"/>
        </w:rPr>
        <w:t xml:space="preserve"> </w:t>
      </w:r>
      <w:proofErr w:type="spellStart"/>
      <w:r w:rsidRPr="008531E6">
        <w:rPr>
          <w:rFonts w:asciiTheme="majorHAnsi" w:hAnsiTheme="majorHAnsi" w:cs="Arial"/>
        </w:rPr>
        <w:t>attitudes</w:t>
      </w:r>
      <w:proofErr w:type="spellEnd"/>
      <w:r w:rsidRPr="008531E6">
        <w:rPr>
          <w:rFonts w:asciiTheme="majorHAnsi" w:hAnsiTheme="majorHAnsi" w:cs="Arial"/>
        </w:rPr>
        <w:t xml:space="preserve"> of </w:t>
      </w:r>
      <w:proofErr w:type="spellStart"/>
      <w:r w:rsidRPr="008531E6">
        <w:rPr>
          <w:rFonts w:asciiTheme="majorHAnsi" w:hAnsiTheme="majorHAnsi" w:cs="Arial"/>
        </w:rPr>
        <w:t>their</w:t>
      </w:r>
      <w:proofErr w:type="spellEnd"/>
      <w:r w:rsidRPr="008531E6">
        <w:rPr>
          <w:rFonts w:asciiTheme="majorHAnsi" w:hAnsiTheme="majorHAnsi" w:cs="Arial"/>
        </w:rPr>
        <w:t xml:space="preserve"> </w:t>
      </w:r>
      <w:proofErr w:type="spellStart"/>
      <w:r w:rsidRPr="008531E6">
        <w:rPr>
          <w:rFonts w:asciiTheme="majorHAnsi" w:hAnsiTheme="majorHAnsi" w:cs="Arial"/>
        </w:rPr>
        <w:t>parents</w:t>
      </w:r>
      <w:proofErr w:type="spellEnd"/>
      <w:r w:rsidRPr="008531E6">
        <w:rPr>
          <w:rFonts w:asciiTheme="majorHAnsi" w:hAnsiTheme="majorHAnsi" w:cs="Arial"/>
        </w:rPr>
        <w:t xml:space="preserve"> </w:t>
      </w:r>
      <w:proofErr w:type="spellStart"/>
      <w:r w:rsidRPr="008531E6">
        <w:rPr>
          <w:rFonts w:asciiTheme="majorHAnsi" w:hAnsiTheme="majorHAnsi" w:cs="Arial"/>
        </w:rPr>
        <w:t>towards</w:t>
      </w:r>
      <w:proofErr w:type="spellEnd"/>
      <w:r w:rsidRPr="008531E6">
        <w:rPr>
          <w:rFonts w:asciiTheme="majorHAnsi" w:hAnsiTheme="majorHAnsi" w:cs="Arial"/>
        </w:rPr>
        <w:t> </w:t>
      </w:r>
      <w:proofErr w:type="spellStart"/>
      <w:r w:rsidRPr="008531E6">
        <w:rPr>
          <w:rFonts w:asciiTheme="majorHAnsi" w:hAnsiTheme="majorHAnsi" w:cs="Arial"/>
        </w:rPr>
        <w:t>vaccines</w:t>
      </w:r>
      <w:proofErr w:type="spellEnd"/>
      <w:r w:rsidRPr="008531E6">
        <w:rPr>
          <w:rFonts w:asciiTheme="majorHAnsi" w:hAnsiTheme="majorHAnsi" w:cs="Arial"/>
        </w:rPr>
        <w:t xml:space="preserve">. </w:t>
      </w:r>
      <w:proofErr w:type="spellStart"/>
      <w:r w:rsidRPr="008531E6">
        <w:rPr>
          <w:rFonts w:asciiTheme="majorHAnsi" w:hAnsiTheme="majorHAnsi" w:cs="Arial"/>
        </w:rPr>
        <w:t>V</w:t>
      </w:r>
      <w:hyperlink r:id="rId13" w:tooltip="Vaccine." w:history="1">
        <w:r w:rsidRPr="008531E6">
          <w:rPr>
            <w:rStyle w:val="Hipervnculo"/>
            <w:rFonts w:asciiTheme="majorHAnsi" w:hAnsiTheme="majorHAnsi" w:cs="Arial"/>
            <w:color w:val="auto"/>
            <w:u w:val="none"/>
          </w:rPr>
          <w:t>accine</w:t>
        </w:r>
        <w:proofErr w:type="spellEnd"/>
        <w:r w:rsidRPr="008531E6">
          <w:rPr>
            <w:rStyle w:val="Hipervnculo"/>
            <w:rFonts w:asciiTheme="majorHAnsi" w:hAnsiTheme="majorHAnsi" w:cs="Arial"/>
            <w:color w:val="auto"/>
            <w:u w:val="none"/>
          </w:rPr>
          <w:t>.</w:t>
        </w:r>
      </w:hyperlink>
      <w:r w:rsidRPr="008531E6">
        <w:rPr>
          <w:rFonts w:asciiTheme="majorHAnsi" w:hAnsiTheme="majorHAnsi" w:cs="Arial"/>
        </w:rPr>
        <w:t> 2015 Nov 27</w:t>
      </w:r>
      <w:proofErr w:type="gramStart"/>
      <w:r w:rsidRPr="008531E6">
        <w:rPr>
          <w:rFonts w:asciiTheme="majorHAnsi" w:hAnsiTheme="majorHAnsi" w:cs="Arial"/>
        </w:rPr>
        <w:t>;33</w:t>
      </w:r>
      <w:proofErr w:type="gramEnd"/>
      <w:r w:rsidRPr="008531E6">
        <w:rPr>
          <w:rFonts w:asciiTheme="majorHAnsi" w:hAnsiTheme="majorHAnsi" w:cs="Arial"/>
        </w:rPr>
        <w:t>(48):6520-4.</w:t>
      </w:r>
    </w:p>
    <w:p w:rsidR="00A21194" w:rsidRPr="008531E6" w:rsidRDefault="00A21194" w:rsidP="00A21194">
      <w:pPr>
        <w:pStyle w:val="Prrafodelista"/>
        <w:numPr>
          <w:ilvl w:val="0"/>
          <w:numId w:val="6"/>
        </w:numPr>
        <w:tabs>
          <w:tab w:val="left" w:pos="3680"/>
        </w:tabs>
        <w:jc w:val="both"/>
        <w:rPr>
          <w:rFonts w:asciiTheme="majorHAnsi" w:hAnsiTheme="majorHAnsi"/>
        </w:rPr>
      </w:pPr>
      <w:proofErr w:type="spellStart"/>
      <w:r w:rsidRPr="008531E6">
        <w:rPr>
          <w:rFonts w:asciiTheme="majorHAnsi" w:hAnsiTheme="majorHAnsi"/>
          <w:color w:val="505050"/>
          <w:shd w:val="clear" w:color="auto" w:fill="FFFFFF"/>
        </w:rPr>
        <w:t>Menni</w:t>
      </w:r>
      <w:proofErr w:type="spellEnd"/>
      <w:r w:rsidRPr="008531E6">
        <w:rPr>
          <w:rFonts w:asciiTheme="majorHAnsi" w:hAnsiTheme="majorHAnsi"/>
          <w:color w:val="505050"/>
          <w:shd w:val="clear" w:color="auto" w:fill="FFFFFF"/>
        </w:rPr>
        <w:t xml:space="preserve"> F., </w:t>
      </w:r>
      <w:proofErr w:type="spellStart"/>
      <w:r w:rsidRPr="008531E6">
        <w:rPr>
          <w:rFonts w:asciiTheme="majorHAnsi" w:hAnsiTheme="majorHAnsi"/>
          <w:color w:val="505050"/>
          <w:shd w:val="clear" w:color="auto" w:fill="FFFFFF"/>
        </w:rPr>
        <w:t>Chiarelli</w:t>
      </w:r>
      <w:proofErr w:type="spellEnd"/>
      <w:r w:rsidRPr="008531E6">
        <w:rPr>
          <w:rFonts w:asciiTheme="majorHAnsi" w:hAnsiTheme="majorHAnsi"/>
          <w:color w:val="505050"/>
          <w:shd w:val="clear" w:color="auto" w:fill="FFFFFF"/>
        </w:rPr>
        <w:t xml:space="preserve"> G., Sabatini C., </w:t>
      </w:r>
      <w:proofErr w:type="spellStart"/>
      <w:r w:rsidRPr="008531E6">
        <w:rPr>
          <w:rFonts w:asciiTheme="majorHAnsi" w:hAnsiTheme="majorHAnsi"/>
          <w:color w:val="505050"/>
          <w:shd w:val="clear" w:color="auto" w:fill="FFFFFF"/>
        </w:rPr>
        <w:t>Principi</w:t>
      </w:r>
      <w:proofErr w:type="spellEnd"/>
      <w:r w:rsidRPr="008531E6">
        <w:rPr>
          <w:rFonts w:asciiTheme="majorHAnsi" w:hAnsiTheme="majorHAnsi"/>
          <w:color w:val="505050"/>
          <w:shd w:val="clear" w:color="auto" w:fill="FFFFFF"/>
        </w:rPr>
        <w:t xml:space="preserve"> N., and Esposito S.: </w:t>
      </w:r>
      <w:proofErr w:type="spellStart"/>
      <w:r w:rsidRPr="008531E6">
        <w:rPr>
          <w:rFonts w:asciiTheme="majorHAnsi" w:hAnsiTheme="majorHAnsi"/>
          <w:color w:val="505050"/>
          <w:shd w:val="clear" w:color="auto" w:fill="FFFFFF"/>
        </w:rPr>
        <w:t>Vaccination</w:t>
      </w:r>
      <w:proofErr w:type="spellEnd"/>
      <w:r w:rsidRPr="008531E6">
        <w:rPr>
          <w:rFonts w:asciiTheme="majorHAnsi" w:hAnsiTheme="majorHAnsi"/>
          <w:color w:val="505050"/>
          <w:shd w:val="clear" w:color="auto" w:fill="FFFFFF"/>
        </w:rPr>
        <w:t xml:space="preserve"> in </w:t>
      </w:r>
      <w:proofErr w:type="spellStart"/>
      <w:r w:rsidRPr="008531E6">
        <w:rPr>
          <w:rFonts w:asciiTheme="majorHAnsi" w:hAnsiTheme="majorHAnsi"/>
          <w:color w:val="505050"/>
          <w:shd w:val="clear" w:color="auto" w:fill="FFFFFF"/>
        </w:rPr>
        <w:t>children</w:t>
      </w:r>
      <w:proofErr w:type="spellEnd"/>
      <w:r w:rsidRPr="008531E6">
        <w:rPr>
          <w:rFonts w:asciiTheme="majorHAnsi" w:hAnsiTheme="majorHAnsi"/>
          <w:color w:val="505050"/>
          <w:shd w:val="clear" w:color="auto" w:fill="FFFFFF"/>
        </w:rPr>
        <w:t xml:space="preserve"> </w:t>
      </w:r>
      <w:proofErr w:type="spellStart"/>
      <w:r w:rsidRPr="008531E6">
        <w:rPr>
          <w:rFonts w:asciiTheme="majorHAnsi" w:hAnsiTheme="majorHAnsi"/>
          <w:color w:val="505050"/>
          <w:shd w:val="clear" w:color="auto" w:fill="FFFFFF"/>
        </w:rPr>
        <w:t>with</w:t>
      </w:r>
      <w:proofErr w:type="spellEnd"/>
      <w:r w:rsidRPr="008531E6">
        <w:rPr>
          <w:rFonts w:asciiTheme="majorHAnsi" w:hAnsiTheme="majorHAnsi"/>
          <w:color w:val="505050"/>
          <w:shd w:val="clear" w:color="auto" w:fill="FFFFFF"/>
        </w:rPr>
        <w:t xml:space="preserve"> </w:t>
      </w:r>
      <w:proofErr w:type="spellStart"/>
      <w:r w:rsidRPr="008531E6">
        <w:rPr>
          <w:rFonts w:asciiTheme="majorHAnsi" w:hAnsiTheme="majorHAnsi"/>
          <w:color w:val="505050"/>
          <w:shd w:val="clear" w:color="auto" w:fill="FFFFFF"/>
        </w:rPr>
        <w:t>inborn</w:t>
      </w:r>
      <w:proofErr w:type="spellEnd"/>
      <w:r w:rsidRPr="008531E6">
        <w:rPr>
          <w:rFonts w:asciiTheme="majorHAnsi" w:hAnsiTheme="majorHAnsi"/>
          <w:color w:val="505050"/>
          <w:shd w:val="clear" w:color="auto" w:fill="FFFFFF"/>
        </w:rPr>
        <w:t xml:space="preserve"> </w:t>
      </w:r>
      <w:proofErr w:type="spellStart"/>
      <w:r w:rsidRPr="008531E6">
        <w:rPr>
          <w:rFonts w:asciiTheme="majorHAnsi" w:hAnsiTheme="majorHAnsi"/>
          <w:color w:val="505050"/>
          <w:shd w:val="clear" w:color="auto" w:fill="FFFFFF"/>
        </w:rPr>
        <w:t>errors</w:t>
      </w:r>
      <w:proofErr w:type="spellEnd"/>
      <w:r w:rsidRPr="008531E6">
        <w:rPr>
          <w:rFonts w:asciiTheme="majorHAnsi" w:hAnsiTheme="majorHAnsi"/>
          <w:color w:val="505050"/>
          <w:shd w:val="clear" w:color="auto" w:fill="FFFFFF"/>
        </w:rPr>
        <w:t xml:space="preserve"> of </w:t>
      </w:r>
      <w:proofErr w:type="spellStart"/>
      <w:r w:rsidRPr="008531E6">
        <w:rPr>
          <w:rFonts w:asciiTheme="majorHAnsi" w:hAnsiTheme="majorHAnsi"/>
          <w:color w:val="505050"/>
          <w:shd w:val="clear" w:color="auto" w:fill="FFFFFF"/>
        </w:rPr>
        <w:t>metabolism</w:t>
      </w:r>
      <w:proofErr w:type="spellEnd"/>
      <w:r w:rsidRPr="008531E6">
        <w:rPr>
          <w:rFonts w:asciiTheme="majorHAnsi" w:hAnsiTheme="majorHAnsi"/>
          <w:color w:val="505050"/>
          <w:shd w:val="clear" w:color="auto" w:fill="FFFFFF"/>
        </w:rPr>
        <w:t xml:space="preserve">. </w:t>
      </w:r>
      <w:proofErr w:type="spellStart"/>
      <w:r w:rsidRPr="008531E6">
        <w:rPr>
          <w:rFonts w:asciiTheme="majorHAnsi" w:hAnsiTheme="majorHAnsi"/>
          <w:color w:val="505050"/>
          <w:shd w:val="clear" w:color="auto" w:fill="FFFFFF"/>
        </w:rPr>
        <w:t>Vaccine</w:t>
      </w:r>
      <w:proofErr w:type="spellEnd"/>
      <w:r w:rsidRPr="008531E6">
        <w:rPr>
          <w:rFonts w:asciiTheme="majorHAnsi" w:hAnsiTheme="majorHAnsi"/>
          <w:color w:val="505050"/>
          <w:shd w:val="clear" w:color="auto" w:fill="FFFFFF"/>
        </w:rPr>
        <w:t xml:space="preserve"> 2012; 30: pp. 7161-7164</w:t>
      </w:r>
    </w:p>
    <w:sectPr w:rsidR="00A21194" w:rsidRPr="008531E6" w:rsidSect="000C614D">
      <w:footerReference w:type="default" r:id="rId14"/>
      <w:pgSz w:w="11906" w:h="16838"/>
      <w:pgMar w:top="1417" w:right="1701" w:bottom="1417"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2B" w:rsidRDefault="00D4782B" w:rsidP="000C614D">
      <w:pPr>
        <w:spacing w:after="0" w:line="240" w:lineRule="auto"/>
      </w:pPr>
      <w:r>
        <w:separator/>
      </w:r>
    </w:p>
  </w:endnote>
  <w:endnote w:type="continuationSeparator" w:id="0">
    <w:p w:rsidR="00D4782B" w:rsidRDefault="00D4782B" w:rsidP="000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4D" w:rsidRDefault="000C614D">
    <w:pPr>
      <w:pStyle w:val="Piedepgina"/>
      <w:rPr>
        <w:color w:val="5B9BD5" w:themeColor="accent1"/>
      </w:rPr>
    </w:pPr>
    <w:r>
      <w:rPr>
        <w:color w:val="5B9BD5" w:themeColor="accent1"/>
      </w:rPr>
      <w:t xml:space="preserve">Unidad de Enfermedades </w:t>
    </w:r>
    <w:proofErr w:type="spellStart"/>
    <w:r>
      <w:rPr>
        <w:color w:val="5B9BD5" w:themeColor="accent1"/>
      </w:rPr>
      <w:t>Metabolicas</w:t>
    </w:r>
    <w:proofErr w:type="spellEnd"/>
    <w:r>
      <w:rPr>
        <w:color w:val="5B9BD5" w:themeColor="accent1"/>
      </w:rPr>
      <w:t xml:space="preserve">  y Mitocondriales. </w:t>
    </w:r>
    <w:r w:rsidRPr="000C614D">
      <w:rPr>
        <w:color w:val="5B9BD5" w:themeColor="accent1"/>
      </w:rPr>
      <w:t xml:space="preserve">Hospital 12 de Octubre.                            </w:t>
    </w:r>
  </w:p>
  <w:p w:rsidR="000C614D" w:rsidRDefault="000C614D">
    <w:pPr>
      <w:pStyle w:val="Piedepgina"/>
      <w:rPr>
        <w:color w:val="5B9BD5" w:themeColor="accent1"/>
      </w:rPr>
    </w:pPr>
  </w:p>
  <w:p w:rsidR="000C614D" w:rsidRPr="000C614D" w:rsidRDefault="000C614D">
    <w:pPr>
      <w:pStyle w:val="Piedepgina"/>
      <w:rPr>
        <w:color w:val="5B9BD5" w:themeColor="accent1"/>
      </w:rPr>
    </w:pPr>
    <w:r w:rsidRPr="000C614D">
      <w:rPr>
        <w:color w:val="5B9BD5" w:themeColor="accent1"/>
      </w:rPr>
      <w:t>Abril de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2B" w:rsidRDefault="00D4782B" w:rsidP="000C614D">
      <w:pPr>
        <w:spacing w:after="0" w:line="240" w:lineRule="auto"/>
      </w:pPr>
      <w:r>
        <w:separator/>
      </w:r>
    </w:p>
  </w:footnote>
  <w:footnote w:type="continuationSeparator" w:id="0">
    <w:p w:rsidR="00D4782B" w:rsidRDefault="00D4782B" w:rsidP="000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074F"/>
    <w:multiLevelType w:val="hybridMultilevel"/>
    <w:tmpl w:val="7BF4A4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591032"/>
    <w:multiLevelType w:val="hybridMultilevel"/>
    <w:tmpl w:val="4B36BDCA"/>
    <w:lvl w:ilvl="0" w:tplc="3DF2E3CA">
      <w:numFmt w:val="bullet"/>
      <w:lvlText w:val=""/>
      <w:lvlJc w:val="left"/>
      <w:pPr>
        <w:ind w:left="720" w:hanging="360"/>
      </w:pPr>
      <w:rPr>
        <w:rFonts w:ascii="Wingdings" w:eastAsiaTheme="minorHAnsi" w:hAnsi="Wingding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47F097F"/>
    <w:multiLevelType w:val="hybridMultilevel"/>
    <w:tmpl w:val="0734D5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46D146E"/>
    <w:multiLevelType w:val="hybridMultilevel"/>
    <w:tmpl w:val="0BE00C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E4F572A"/>
    <w:multiLevelType w:val="hybridMultilevel"/>
    <w:tmpl w:val="353247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58F69C6"/>
    <w:multiLevelType w:val="multilevel"/>
    <w:tmpl w:val="3AE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CA"/>
    <w:rsid w:val="0006733F"/>
    <w:rsid w:val="000704FB"/>
    <w:rsid w:val="000C3796"/>
    <w:rsid w:val="000C614D"/>
    <w:rsid w:val="002C597F"/>
    <w:rsid w:val="00440E5F"/>
    <w:rsid w:val="00454CD0"/>
    <w:rsid w:val="005D7FF5"/>
    <w:rsid w:val="00717324"/>
    <w:rsid w:val="008531E6"/>
    <w:rsid w:val="008A760B"/>
    <w:rsid w:val="00A21194"/>
    <w:rsid w:val="00AF6632"/>
    <w:rsid w:val="00B368C2"/>
    <w:rsid w:val="00B75CCA"/>
    <w:rsid w:val="00C13C59"/>
    <w:rsid w:val="00C31718"/>
    <w:rsid w:val="00C707D8"/>
    <w:rsid w:val="00D46E0A"/>
    <w:rsid w:val="00D4782B"/>
    <w:rsid w:val="00E807FF"/>
    <w:rsid w:val="00F237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2244-05F1-41B8-A87F-1E8270F1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6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F6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F66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7FF5"/>
    <w:rPr>
      <w:color w:val="0563C1" w:themeColor="hyperlink"/>
      <w:u w:val="single"/>
    </w:rPr>
  </w:style>
  <w:style w:type="character" w:styleId="Textoennegrita">
    <w:name w:val="Strong"/>
    <w:basedOn w:val="Fuentedeprrafopredeter"/>
    <w:uiPriority w:val="22"/>
    <w:qFormat/>
    <w:rsid w:val="00717324"/>
    <w:rPr>
      <w:b/>
      <w:bCs/>
    </w:rPr>
  </w:style>
  <w:style w:type="paragraph" w:styleId="Prrafodelista">
    <w:name w:val="List Paragraph"/>
    <w:basedOn w:val="Normal"/>
    <w:uiPriority w:val="34"/>
    <w:qFormat/>
    <w:rsid w:val="00717324"/>
    <w:pPr>
      <w:ind w:left="720"/>
      <w:contextualSpacing/>
    </w:pPr>
  </w:style>
  <w:style w:type="character" w:customStyle="1" w:styleId="Ttulo1Car">
    <w:name w:val="Título 1 Car"/>
    <w:basedOn w:val="Fuentedeprrafopredeter"/>
    <w:link w:val="Ttulo1"/>
    <w:uiPriority w:val="9"/>
    <w:rsid w:val="00AF663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F663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F6632"/>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A21194"/>
  </w:style>
  <w:style w:type="paragraph" w:styleId="Encabezado">
    <w:name w:val="header"/>
    <w:basedOn w:val="Normal"/>
    <w:link w:val="EncabezadoCar"/>
    <w:uiPriority w:val="99"/>
    <w:unhideWhenUsed/>
    <w:rsid w:val="000C61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14D"/>
  </w:style>
  <w:style w:type="paragraph" w:styleId="Piedepgina">
    <w:name w:val="footer"/>
    <w:basedOn w:val="Normal"/>
    <w:link w:val="PiedepginaCar"/>
    <w:uiPriority w:val="99"/>
    <w:unhideWhenUsed/>
    <w:rsid w:val="000C61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786">
      <w:bodyDiv w:val="1"/>
      <w:marLeft w:val="0"/>
      <w:marRight w:val="0"/>
      <w:marTop w:val="0"/>
      <w:marBottom w:val="0"/>
      <w:divBdr>
        <w:top w:val="none" w:sz="0" w:space="0" w:color="auto"/>
        <w:left w:val="none" w:sz="0" w:space="0" w:color="auto"/>
        <w:bottom w:val="none" w:sz="0" w:space="0" w:color="auto"/>
        <w:right w:val="none" w:sz="0" w:space="0" w:color="auto"/>
      </w:divBdr>
    </w:div>
    <w:div w:id="236787746">
      <w:bodyDiv w:val="1"/>
      <w:marLeft w:val="0"/>
      <w:marRight w:val="0"/>
      <w:marTop w:val="0"/>
      <w:marBottom w:val="0"/>
      <w:divBdr>
        <w:top w:val="none" w:sz="0" w:space="0" w:color="auto"/>
        <w:left w:val="none" w:sz="0" w:space="0" w:color="auto"/>
        <w:bottom w:val="none" w:sz="0" w:space="0" w:color="auto"/>
        <w:right w:val="none" w:sz="0" w:space="0" w:color="auto"/>
      </w:divBdr>
    </w:div>
    <w:div w:id="1157764246">
      <w:bodyDiv w:val="1"/>
      <w:marLeft w:val="0"/>
      <w:marRight w:val="0"/>
      <w:marTop w:val="0"/>
      <w:marBottom w:val="0"/>
      <w:divBdr>
        <w:top w:val="none" w:sz="0" w:space="0" w:color="auto"/>
        <w:left w:val="none" w:sz="0" w:space="0" w:color="auto"/>
        <w:bottom w:val="none" w:sz="0" w:space="0" w:color="auto"/>
        <w:right w:val="none" w:sz="0" w:space="0" w:color="auto"/>
      </w:divBdr>
    </w:div>
    <w:div w:id="1214272989">
      <w:bodyDiv w:val="1"/>
      <w:marLeft w:val="0"/>
      <w:marRight w:val="0"/>
      <w:marTop w:val="0"/>
      <w:marBottom w:val="0"/>
      <w:divBdr>
        <w:top w:val="none" w:sz="0" w:space="0" w:color="auto"/>
        <w:left w:val="none" w:sz="0" w:space="0" w:color="auto"/>
        <w:bottom w:val="none" w:sz="0" w:space="0" w:color="auto"/>
        <w:right w:val="none" w:sz="0" w:space="0" w:color="auto"/>
      </w:divBdr>
    </w:div>
    <w:div w:id="19402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26514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Esposito%20S%5BAuthor%5D&amp;cauthor=true&amp;cauthor_uid=265144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Principi%20N%5BAuthor%5D&amp;cauthor=true&amp;cauthor_uid=265144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term=De%20Lonlay%20P%5BAuthor%5D&amp;cauthor=true&amp;cauthor_uid=26514424" TargetMode="External"/><Relationship Id="rId4" Type="http://schemas.openxmlformats.org/officeDocument/2006/relationships/settings" Target="settings.xml"/><Relationship Id="rId9" Type="http://schemas.openxmlformats.org/officeDocument/2006/relationships/hyperlink" Target="https://www.ncbi.nlm.nih.gov/pubmed/?term=Cerutti%20M%5BAuthor%5D&amp;cauthor=true&amp;cauthor_uid=2651442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22AE-8E7D-4747-ACEA-B8F79C5F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chumillas</dc:creator>
  <cp:keywords/>
  <dc:description/>
  <cp:lastModifiedBy>Consejeria de Sanidad</cp:lastModifiedBy>
  <cp:revision>5</cp:revision>
  <dcterms:created xsi:type="dcterms:W3CDTF">2019-11-15T18:07:00Z</dcterms:created>
  <dcterms:modified xsi:type="dcterms:W3CDTF">2020-04-17T17:58:00Z</dcterms:modified>
</cp:coreProperties>
</file>