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B1BF" w14:textId="77777777" w:rsidR="0097348C" w:rsidRPr="00087562" w:rsidRDefault="0097348C" w:rsidP="007E0F85">
      <w:pPr>
        <w:pStyle w:val="Default"/>
        <w:spacing w:line="360" w:lineRule="auto"/>
        <w:rPr>
          <w:rFonts w:asciiTheme="minorHAnsi" w:hAnsiTheme="minorHAnsi" w:cstheme="minorHAnsi"/>
          <w:b/>
          <w:bCs/>
          <w:sz w:val="18"/>
          <w:szCs w:val="18"/>
          <w:u w:val="single"/>
          <w:lang w:val="en-GB"/>
        </w:rPr>
      </w:pPr>
    </w:p>
    <w:p w14:paraId="78846FC5" w14:textId="261DA3A3" w:rsidR="00DC49EB" w:rsidRPr="00D71A75" w:rsidRDefault="00B2726B" w:rsidP="007E0F85">
      <w:pPr>
        <w:pStyle w:val="BodyText2"/>
        <w:spacing w:line="360" w:lineRule="auto"/>
        <w:rPr>
          <w:rFonts w:asciiTheme="minorHAnsi" w:eastAsiaTheme="minorHAnsi" w:hAnsiTheme="minorHAnsi" w:cstheme="minorHAnsi"/>
          <w:color w:val="000000"/>
          <w:sz w:val="40"/>
          <w:szCs w:val="40"/>
          <w:u w:val="single"/>
          <w:lang w:val="de-DE" w:eastAsia="en-US"/>
        </w:rPr>
      </w:pPr>
      <w:r w:rsidRPr="00D71A75">
        <w:rPr>
          <w:rFonts w:asciiTheme="minorHAnsi" w:eastAsiaTheme="minorHAnsi" w:hAnsiTheme="minorHAnsi" w:cstheme="minorHAnsi"/>
          <w:color w:val="000000"/>
          <w:sz w:val="40"/>
          <w:szCs w:val="40"/>
          <w:u w:val="single"/>
          <w:lang w:val="de-DE" w:eastAsia="en-US"/>
        </w:rPr>
        <w:t>An die Patientin / den Patienten</w:t>
      </w:r>
    </w:p>
    <w:p w14:paraId="66E5E8A0" w14:textId="77777777" w:rsidR="00B2726B" w:rsidRPr="00D71A75" w:rsidRDefault="00B2726B" w:rsidP="007E0F85">
      <w:pPr>
        <w:pStyle w:val="BodyText2"/>
        <w:spacing w:line="360" w:lineRule="auto"/>
        <w:rPr>
          <w:rFonts w:asciiTheme="minorHAnsi" w:hAnsiTheme="minorHAnsi" w:cstheme="minorHAnsi"/>
          <w:sz w:val="32"/>
          <w:szCs w:val="32"/>
          <w:lang w:val="de-DE"/>
        </w:rPr>
      </w:pPr>
    </w:p>
    <w:p w14:paraId="04F4D3EF" w14:textId="0993C313" w:rsidR="007E0F85" w:rsidRDefault="00B2726B" w:rsidP="00B2726B">
      <w:pPr>
        <w:pStyle w:val="BodyText"/>
        <w:spacing w:line="360" w:lineRule="auto"/>
        <w:jc w:val="center"/>
        <w:rPr>
          <w:rFonts w:asciiTheme="minorHAnsi" w:hAnsiTheme="minorHAnsi" w:cstheme="minorHAnsi"/>
          <w:b/>
          <w:bCs/>
          <w:sz w:val="32"/>
          <w:szCs w:val="32"/>
          <w:lang w:val="de-DE"/>
        </w:rPr>
      </w:pPr>
      <w:r w:rsidRPr="00B2726B">
        <w:rPr>
          <w:rFonts w:asciiTheme="minorHAnsi" w:hAnsiTheme="minorHAnsi" w:cstheme="minorHAnsi"/>
          <w:b/>
          <w:bCs/>
          <w:sz w:val="32"/>
          <w:szCs w:val="32"/>
          <w:lang w:val="de-DE"/>
        </w:rPr>
        <w:t>Information zur Teilnahme an einer klinischen Studie für hospitalisierte Patientinnen mit Sepsis und kritischer Erkrankung</w:t>
      </w:r>
    </w:p>
    <w:p w14:paraId="745C034A" w14:textId="77777777" w:rsidR="00B2726B" w:rsidRPr="00B2726B" w:rsidRDefault="00B2726B" w:rsidP="007E0F85">
      <w:pPr>
        <w:pStyle w:val="BodyText"/>
        <w:spacing w:line="360" w:lineRule="auto"/>
        <w:rPr>
          <w:rFonts w:asciiTheme="minorHAnsi" w:hAnsiTheme="minorHAnsi" w:cstheme="minorHAnsi"/>
          <w:b/>
          <w:bCs/>
          <w:lang w:val="de-DE"/>
        </w:rPr>
      </w:pPr>
    </w:p>
    <w:p w14:paraId="21398BF4" w14:textId="17BD7538" w:rsidR="00DC49EB" w:rsidRPr="00B2726B" w:rsidRDefault="00DC49EB" w:rsidP="007E0F85">
      <w:pPr>
        <w:pStyle w:val="BodyText"/>
        <w:spacing w:line="360" w:lineRule="auto"/>
        <w:rPr>
          <w:rFonts w:asciiTheme="minorHAnsi" w:hAnsiTheme="minorHAnsi" w:cstheme="minorHAnsi"/>
          <w:b/>
          <w:bCs/>
          <w:sz w:val="28"/>
          <w:szCs w:val="28"/>
          <w:lang w:val="de-DE"/>
        </w:rPr>
      </w:pPr>
      <w:r w:rsidRPr="00B2726B">
        <w:rPr>
          <w:rFonts w:asciiTheme="minorHAnsi" w:hAnsiTheme="minorHAnsi" w:cstheme="minorHAnsi"/>
          <w:b/>
          <w:bCs/>
          <w:sz w:val="28"/>
          <w:szCs w:val="28"/>
          <w:lang w:val="de-DE"/>
        </w:rPr>
        <w:t>EU CT-</w:t>
      </w:r>
      <w:r w:rsidR="00B2726B" w:rsidRPr="00B2726B">
        <w:rPr>
          <w:rFonts w:asciiTheme="minorHAnsi" w:hAnsiTheme="minorHAnsi" w:cstheme="minorHAnsi"/>
          <w:b/>
          <w:bCs/>
          <w:sz w:val="28"/>
          <w:szCs w:val="28"/>
          <w:lang w:val="de-DE"/>
        </w:rPr>
        <w:t>Numm</w:t>
      </w:r>
      <w:r w:rsidR="007E0F85" w:rsidRPr="00B2726B">
        <w:rPr>
          <w:rFonts w:asciiTheme="minorHAnsi" w:hAnsiTheme="minorHAnsi" w:cstheme="minorHAnsi"/>
          <w:b/>
          <w:bCs/>
          <w:sz w:val="28"/>
          <w:szCs w:val="28"/>
          <w:lang w:val="de-DE"/>
        </w:rPr>
        <w:t>er</w:t>
      </w:r>
      <w:r w:rsidRPr="00B2726B">
        <w:rPr>
          <w:rFonts w:asciiTheme="minorHAnsi" w:hAnsiTheme="minorHAnsi" w:cstheme="minorHAnsi"/>
          <w:b/>
          <w:bCs/>
          <w:sz w:val="28"/>
          <w:szCs w:val="28"/>
          <w:lang w:val="de-DE"/>
        </w:rPr>
        <w:t>: 2023-509703-33-00</w:t>
      </w:r>
    </w:p>
    <w:p w14:paraId="52D8AAE2" w14:textId="77777777" w:rsidR="00DC49EB" w:rsidRPr="00B2726B" w:rsidRDefault="00DC49EB" w:rsidP="007E0F85">
      <w:pPr>
        <w:pStyle w:val="BodyText"/>
        <w:spacing w:line="360" w:lineRule="auto"/>
        <w:rPr>
          <w:rFonts w:asciiTheme="minorHAnsi" w:hAnsiTheme="minorHAnsi" w:cstheme="minorHAnsi"/>
          <w:b/>
          <w:bCs/>
          <w:lang w:val="de-DE"/>
        </w:rPr>
      </w:pPr>
    </w:p>
    <w:p w14:paraId="6E8C7876" w14:textId="77777777" w:rsidR="00B2726B" w:rsidRPr="00B2726B" w:rsidRDefault="00B2726B" w:rsidP="00B2726B">
      <w:pPr>
        <w:pStyle w:val="BodyText"/>
        <w:spacing w:line="360" w:lineRule="auto"/>
        <w:rPr>
          <w:rFonts w:asciiTheme="minorHAnsi" w:hAnsiTheme="minorHAnsi" w:cstheme="minorHAnsi"/>
          <w:b/>
          <w:bCs/>
          <w:sz w:val="24"/>
          <w:szCs w:val="24"/>
          <w:lang w:val="de-DE"/>
        </w:rPr>
      </w:pPr>
      <w:r w:rsidRPr="00B2726B">
        <w:rPr>
          <w:rFonts w:asciiTheme="minorHAnsi" w:hAnsiTheme="minorHAnsi" w:cstheme="minorHAnsi"/>
          <w:b/>
          <w:bCs/>
          <w:sz w:val="24"/>
          <w:szCs w:val="24"/>
          <w:lang w:val="de-DE"/>
        </w:rPr>
        <w:t>Titel der klinischen Studie</w:t>
      </w:r>
    </w:p>
    <w:p w14:paraId="439E9F6A" w14:textId="2E60C0C9" w:rsidR="00E36091" w:rsidRPr="00B2726B" w:rsidRDefault="00B2726B" w:rsidP="00B2726B">
      <w:pPr>
        <w:pStyle w:val="BodyText"/>
        <w:spacing w:line="360" w:lineRule="auto"/>
        <w:rPr>
          <w:rFonts w:asciiTheme="minorHAnsi" w:hAnsiTheme="minorHAnsi" w:cstheme="minorHAnsi"/>
          <w:sz w:val="24"/>
          <w:szCs w:val="24"/>
          <w:lang w:val="de-DE"/>
        </w:rPr>
      </w:pPr>
      <w:r w:rsidRPr="00B2726B">
        <w:rPr>
          <w:rFonts w:asciiTheme="minorHAnsi" w:hAnsiTheme="minorHAnsi" w:cstheme="minorHAnsi"/>
          <w:sz w:val="24"/>
          <w:szCs w:val="24"/>
          <w:lang w:val="de-DE"/>
        </w:rPr>
        <w:t>Empirische Behandlung mit Meropenem versus Piperacillin/Tazobactam bei erwachsenen Patientinnen mit Sepsis (EMPRESS)</w:t>
      </w:r>
    </w:p>
    <w:p w14:paraId="6E49EA5D" w14:textId="77777777" w:rsidR="00B2726B" w:rsidRPr="00B2726B" w:rsidRDefault="00B2726B" w:rsidP="00B2726B">
      <w:pPr>
        <w:pStyle w:val="BodyText"/>
        <w:spacing w:line="360" w:lineRule="auto"/>
        <w:rPr>
          <w:rFonts w:asciiTheme="minorHAnsi" w:hAnsiTheme="minorHAnsi" w:cstheme="minorHAnsi"/>
          <w:sz w:val="26"/>
          <w:szCs w:val="26"/>
          <w:lang w:val="de-DE"/>
        </w:rPr>
      </w:pPr>
    </w:p>
    <w:p w14:paraId="285E02BC" w14:textId="77777777" w:rsidR="00B2726B" w:rsidRPr="00B2726B" w:rsidRDefault="00B2726B" w:rsidP="00B2726B">
      <w:pPr>
        <w:spacing w:line="360" w:lineRule="auto"/>
        <w:rPr>
          <w:rFonts w:asciiTheme="minorHAnsi" w:hAnsiTheme="minorHAnsi" w:cstheme="minorHAnsi"/>
          <w:b/>
          <w:bCs/>
          <w:lang w:val="de-DE"/>
        </w:rPr>
      </w:pPr>
      <w:bookmarkStart w:id="0" w:name="_Hlk159942047"/>
      <w:r w:rsidRPr="00B2726B">
        <w:rPr>
          <w:rFonts w:asciiTheme="minorHAnsi" w:hAnsiTheme="minorHAnsi" w:cstheme="minorHAnsi"/>
          <w:b/>
          <w:bCs/>
          <w:lang w:val="de-DE"/>
        </w:rPr>
        <w:t>Einleitung</w:t>
      </w:r>
    </w:p>
    <w:p w14:paraId="261B7C6A" w14:textId="36228BF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Wir möchten Sie fragen, ob Sie Ihre Zustimmung zur Teilnahme an einer klinischen Studie geben möchten. Sie haben eine schwere Infektion durchgemacht, die zu einem Krankenhausaufenthalt geführt hat. Die klinische Studie wurde bereits während Ihrer akuten Behandlung begonnen und wurde mit einer von der Studie unabhängigen Ärztin bzw. einem Arzt Studienbetreuungsperson) sowie mit Ihren nächsten Angehörigen besprochen. Aufgrund Ihrer kritischen Verfassung war eine schnelle Behandlung erforderlich, und es war Ihnen in diesem Moment nicht möglich, eine informierte Entscheidung über die Teilnahme an der klinischen Studie zu treffen.</w:t>
      </w:r>
    </w:p>
    <w:p w14:paraId="0780C787" w14:textId="77777777" w:rsidR="00B2726B" w:rsidRPr="00B2726B" w:rsidRDefault="00B2726B" w:rsidP="00B2726B">
      <w:pPr>
        <w:spacing w:line="360" w:lineRule="auto"/>
        <w:rPr>
          <w:rFonts w:asciiTheme="minorHAnsi" w:hAnsiTheme="minorHAnsi" w:cstheme="minorHAnsi"/>
          <w:lang w:val="de-DE"/>
        </w:rPr>
      </w:pPr>
    </w:p>
    <w:p w14:paraId="57D02D0A" w14:textId="796B5E56"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Da sich Ihr Gesundheitszustand inzwischen verbessert hat, möchten wir Sie nun um Ihre Zustimmung zur weiteren Teilnahme an der klinischen Studie bitten. Es ist wichtig, dass Sie vollständig verstehen, worum es in der Studie geht und warum sie durchgeführt wird. Bitte lesen Sie daher diese Patienteninformation sorgfältig durch. Sie führen ein Gespräch mit der Studienärztin bzw. dem Studienarzt, in dem Ihnen diese Informationen ausführlich erklärt werden und Sie Fragen stellen können. Sie dürfen gerne eine Angehörige, einen Freund oder eine andere Vertrauensperson zu diesem Gespräch mitbringen.</w:t>
      </w:r>
    </w:p>
    <w:p w14:paraId="685CBF35" w14:textId="77777777" w:rsidR="00B2726B" w:rsidRPr="00B2726B" w:rsidRDefault="00B2726B" w:rsidP="00B2726B">
      <w:pPr>
        <w:spacing w:line="360" w:lineRule="auto"/>
        <w:rPr>
          <w:rFonts w:asciiTheme="minorHAnsi" w:hAnsiTheme="minorHAnsi" w:cstheme="minorHAnsi"/>
          <w:b/>
          <w:bCs/>
          <w:lang w:val="de-DE"/>
        </w:rPr>
      </w:pPr>
    </w:p>
    <w:p w14:paraId="6A3FB75C" w14:textId="66AA3C3C"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lastRenderedPageBreak/>
        <w:t>Wenn Sie sich für eine weitere Teilnahme entscheiden, bitten wir Sie, die beigefügte Einwilligungserklärung zu unterschreiben.</w:t>
      </w:r>
      <w:r>
        <w:rPr>
          <w:rFonts w:asciiTheme="minorHAnsi" w:hAnsiTheme="minorHAnsi" w:cstheme="minorHAnsi"/>
          <w:lang w:val="de-DE"/>
        </w:rPr>
        <w:t xml:space="preserve"> </w:t>
      </w:r>
      <w:r w:rsidRPr="00B2726B">
        <w:rPr>
          <w:rFonts w:asciiTheme="minorHAnsi" w:hAnsiTheme="minorHAnsi" w:cstheme="minorHAnsi"/>
          <w:lang w:val="de-DE"/>
        </w:rPr>
        <w:t>Bitte beachten Sie, dass Sie das Recht haben, sich mindestens 24 Stunden Bedenkzeit zu nehmen, bevor Sie eine Entscheidung treffen.</w:t>
      </w:r>
      <w:r>
        <w:rPr>
          <w:rFonts w:asciiTheme="minorHAnsi" w:hAnsiTheme="minorHAnsi" w:cstheme="minorHAnsi"/>
          <w:lang w:val="de-DE"/>
        </w:rPr>
        <w:t xml:space="preserve"> </w:t>
      </w:r>
      <w:r w:rsidRPr="00B2726B">
        <w:rPr>
          <w:rFonts w:asciiTheme="minorHAnsi" w:hAnsiTheme="minorHAnsi" w:cstheme="minorHAnsi"/>
          <w:lang w:val="de-DE"/>
        </w:rPr>
        <w:t>Die Teilnahme an der klinischen Studie ist freiwillig. Sie können ablehnen oder Ihre Zustimmung jederzeit ohne Angabe von Gründen widerrufen – dies hat keinerlei Auswirkungen auf Ihre weitere medizinische Behandlung.</w:t>
      </w:r>
    </w:p>
    <w:p w14:paraId="296A38DD" w14:textId="77777777" w:rsidR="00B2726B" w:rsidRPr="00B2726B" w:rsidRDefault="00B2726B" w:rsidP="00B2726B">
      <w:pPr>
        <w:spacing w:line="360" w:lineRule="auto"/>
        <w:rPr>
          <w:rFonts w:asciiTheme="minorHAnsi" w:hAnsiTheme="minorHAnsi" w:cstheme="minorHAnsi"/>
          <w:b/>
          <w:bCs/>
          <w:lang w:val="de-DE"/>
        </w:rPr>
      </w:pPr>
    </w:p>
    <w:p w14:paraId="6B143419"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Hintergrund</w:t>
      </w:r>
    </w:p>
    <w:p w14:paraId="34F062E4" w14:textId="2B453CFE"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Sepsis (Blutvergiftung) ist eine lebensbedrohliche Erkrankung, die infolge einer schweren Infektion entstehen kann. Sepsis kann die Organe schädigen und im schlimmsten Fall zu einem septischen Schock mit Kreislaufversagen führen.</w:t>
      </w:r>
      <w:r>
        <w:rPr>
          <w:rFonts w:asciiTheme="minorHAnsi" w:hAnsiTheme="minorHAnsi" w:cstheme="minorHAnsi"/>
          <w:lang w:val="de-DE"/>
        </w:rPr>
        <w:t xml:space="preserve"> </w:t>
      </w:r>
      <w:r w:rsidRPr="00B2726B">
        <w:rPr>
          <w:rFonts w:asciiTheme="minorHAnsi" w:hAnsiTheme="minorHAnsi" w:cstheme="minorHAnsi"/>
          <w:lang w:val="de-DE"/>
        </w:rPr>
        <w:t>Die Behandlung mit Breitbandantibiotika ist bei hospitalisierten Patientinnen mit Sepsis Standard, da sie die Überlebenschancen erhöht.</w:t>
      </w:r>
    </w:p>
    <w:p w14:paraId="3C151FC5" w14:textId="4911B512"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Die Wahl des Antibiotikums richtet sich nach mehreren Faktoren, wie z. B. Art der Infektion, Begleiterkrankungen und der vermuteten Empfindlichkeit der Erreger.</w:t>
      </w:r>
      <w:r>
        <w:rPr>
          <w:rFonts w:asciiTheme="minorHAnsi" w:hAnsiTheme="minorHAnsi" w:cstheme="minorHAnsi"/>
          <w:lang w:val="de-DE"/>
        </w:rPr>
        <w:t xml:space="preserve"> </w:t>
      </w:r>
      <w:r w:rsidRPr="00B2726B">
        <w:rPr>
          <w:rFonts w:asciiTheme="minorHAnsi" w:hAnsiTheme="minorHAnsi" w:cstheme="minorHAnsi"/>
          <w:lang w:val="de-DE"/>
        </w:rPr>
        <w:t>Meist kommen eines der beiden Breitbandantibiotika Piperacillin/Tazobactam oder Meropenem zum Einsatz.</w:t>
      </w:r>
      <w:r>
        <w:rPr>
          <w:rFonts w:asciiTheme="minorHAnsi" w:hAnsiTheme="minorHAnsi" w:cstheme="minorHAnsi"/>
          <w:lang w:val="de-DE"/>
        </w:rPr>
        <w:t xml:space="preserve"> </w:t>
      </w:r>
      <w:r w:rsidRPr="00B2726B">
        <w:rPr>
          <w:rFonts w:asciiTheme="minorHAnsi" w:hAnsiTheme="minorHAnsi" w:cstheme="minorHAnsi"/>
          <w:lang w:val="de-DE"/>
        </w:rPr>
        <w:t>Es ist jedoch unklar, welches der beiden Medikamente besser wirkt und weniger Nebenwirkungen hat.</w:t>
      </w:r>
    </w:p>
    <w:p w14:paraId="11709FD3" w14:textId="77777777" w:rsidR="00B2726B" w:rsidRPr="00B2726B" w:rsidRDefault="00B2726B" w:rsidP="00B2726B">
      <w:pPr>
        <w:spacing w:line="360" w:lineRule="auto"/>
        <w:rPr>
          <w:rFonts w:asciiTheme="minorHAnsi" w:hAnsiTheme="minorHAnsi" w:cstheme="minorHAnsi"/>
          <w:b/>
          <w:bCs/>
          <w:lang w:val="de-DE"/>
        </w:rPr>
      </w:pPr>
    </w:p>
    <w:p w14:paraId="28B015F4"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Ziel der klinischen Studie</w:t>
      </w:r>
    </w:p>
    <w:p w14:paraId="0647033E" w14:textId="3AC0D788"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Ziel der Studie ist es herauszufinden, ob Meropenem im Vergleich zu Piperacillin/Tazobactam die Überlebensrate bei Patientinnen mit Sepsis und kritischem Krankheitsverlauf erhöht.</w:t>
      </w:r>
    </w:p>
    <w:p w14:paraId="6D540D94" w14:textId="77777777" w:rsidR="00B2726B" w:rsidRPr="00B2726B" w:rsidRDefault="00B2726B" w:rsidP="00B2726B">
      <w:pPr>
        <w:spacing w:line="360" w:lineRule="auto"/>
        <w:rPr>
          <w:rFonts w:asciiTheme="minorHAnsi" w:hAnsiTheme="minorHAnsi" w:cstheme="minorHAnsi"/>
          <w:b/>
          <w:bCs/>
          <w:lang w:val="de-DE"/>
        </w:rPr>
      </w:pPr>
    </w:p>
    <w:p w14:paraId="4C99DF7A"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Ablauf der Studie</w:t>
      </w:r>
    </w:p>
    <w:p w14:paraId="347F940F" w14:textId="0461826E"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Die Studie wird in Krankenhäusern in Skandinavien und weltweit durchgeführt.</w:t>
      </w:r>
      <w:r>
        <w:rPr>
          <w:rFonts w:asciiTheme="minorHAnsi" w:hAnsiTheme="minorHAnsi" w:cstheme="minorHAnsi"/>
          <w:lang w:val="de-DE"/>
        </w:rPr>
        <w:t xml:space="preserve"> </w:t>
      </w:r>
      <w:r w:rsidRPr="00B2726B">
        <w:rPr>
          <w:rFonts w:asciiTheme="minorHAnsi" w:hAnsiTheme="minorHAnsi" w:cstheme="minorHAnsi"/>
          <w:lang w:val="de-DE"/>
        </w:rPr>
        <w:t>Im Rahmen der Studie haben Sie entweder Meropenem oder Piperacillin/Tazobactam erhalten – gemäß den geltenden nationalen und internationalen Leitlinien zur Behandlung von Sepsis.</w:t>
      </w:r>
      <w:r>
        <w:rPr>
          <w:rFonts w:asciiTheme="minorHAnsi" w:hAnsiTheme="minorHAnsi" w:cstheme="minorHAnsi"/>
          <w:lang w:val="de-DE"/>
        </w:rPr>
        <w:t xml:space="preserve"> </w:t>
      </w:r>
      <w:r w:rsidRPr="00B2726B">
        <w:rPr>
          <w:rFonts w:asciiTheme="minorHAnsi" w:hAnsiTheme="minorHAnsi" w:cstheme="minorHAnsi"/>
          <w:lang w:val="de-DE"/>
        </w:rPr>
        <w:t>Welches der beiden Antibiotika Sie erhalten haben, wurde per Zufallsverfahren festgelegt. Die Behandlung kann (konnte) bis zu 30 Tage dauern.</w:t>
      </w:r>
    </w:p>
    <w:p w14:paraId="1D5FD679" w14:textId="77777777" w:rsidR="00B2726B" w:rsidRPr="00B2726B" w:rsidRDefault="00B2726B" w:rsidP="00B2726B">
      <w:pPr>
        <w:spacing w:line="360" w:lineRule="auto"/>
        <w:rPr>
          <w:rFonts w:asciiTheme="minorHAnsi" w:hAnsiTheme="minorHAnsi" w:cstheme="minorHAnsi"/>
          <w:b/>
          <w:bCs/>
          <w:lang w:val="de-DE"/>
        </w:rPr>
      </w:pPr>
    </w:p>
    <w:p w14:paraId="00B39D54"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 xml:space="preserve">Während Ihres Krankenhausaufenthaltes wurden Daten aus Ihrer Krankenakte gesammelt – sowohl zu Ihrem Gesundheitszustand vor der Erkrankung als auch zum Verlauf der Erkrankung und </w:t>
      </w:r>
      <w:r w:rsidRPr="00B2726B">
        <w:rPr>
          <w:rFonts w:asciiTheme="minorHAnsi" w:hAnsiTheme="minorHAnsi" w:cstheme="minorHAnsi"/>
          <w:lang w:val="de-DE"/>
        </w:rPr>
        <w:lastRenderedPageBreak/>
        <w:t>Ihrer Behandlung. Diese Daten dienen der Bewertung der Wirksamkeit und Sicherheit der beiden Therapien.</w:t>
      </w:r>
    </w:p>
    <w:p w14:paraId="05A749EE" w14:textId="77777777" w:rsidR="00B2726B" w:rsidRPr="00B2726B" w:rsidRDefault="00B2726B" w:rsidP="00B2726B">
      <w:pPr>
        <w:spacing w:line="360" w:lineRule="auto"/>
        <w:rPr>
          <w:rFonts w:asciiTheme="minorHAnsi" w:hAnsiTheme="minorHAnsi" w:cstheme="minorHAnsi"/>
          <w:lang w:val="de-DE"/>
        </w:rPr>
      </w:pPr>
    </w:p>
    <w:p w14:paraId="004AB61E" w14:textId="4770B350"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Am Ende der Studie wird dokumentiert:</w:t>
      </w:r>
      <w:r>
        <w:rPr>
          <w:rFonts w:asciiTheme="minorHAnsi" w:hAnsiTheme="minorHAnsi" w:cstheme="minorHAnsi"/>
          <w:lang w:val="de-DE"/>
        </w:rPr>
        <w:t xml:space="preserve"> </w:t>
      </w:r>
      <w:r w:rsidRPr="00B2726B">
        <w:rPr>
          <w:rFonts w:asciiTheme="minorHAnsi" w:hAnsiTheme="minorHAnsi" w:cstheme="minorHAnsi"/>
          <w:lang w:val="de-DE"/>
        </w:rPr>
        <w:t>Wie viele Teilnehmerinnen überlebt haben,</w:t>
      </w:r>
      <w:r>
        <w:rPr>
          <w:rFonts w:asciiTheme="minorHAnsi" w:hAnsiTheme="minorHAnsi" w:cstheme="minorHAnsi"/>
          <w:lang w:val="de-DE"/>
        </w:rPr>
        <w:t xml:space="preserve"> </w:t>
      </w:r>
      <w:r w:rsidRPr="00B2726B">
        <w:rPr>
          <w:rFonts w:asciiTheme="minorHAnsi" w:hAnsiTheme="minorHAnsi" w:cstheme="minorHAnsi"/>
          <w:lang w:val="de-DE"/>
        </w:rPr>
        <w:t>Wie viele Nebenwirkungen hatten oder wegen resistenter Bakterien isoliert wurden,</w:t>
      </w:r>
      <w:r>
        <w:rPr>
          <w:rFonts w:asciiTheme="minorHAnsi" w:hAnsiTheme="minorHAnsi" w:cstheme="minorHAnsi"/>
          <w:lang w:val="de-DE"/>
        </w:rPr>
        <w:t xml:space="preserve"> </w:t>
      </w:r>
      <w:r w:rsidRPr="00B2726B">
        <w:rPr>
          <w:rFonts w:asciiTheme="minorHAnsi" w:hAnsiTheme="minorHAnsi" w:cstheme="minorHAnsi"/>
          <w:lang w:val="de-DE"/>
        </w:rPr>
        <w:t>Wie lange eine intensivmedizinische Unterstützung notwendig war</w:t>
      </w:r>
      <w:r>
        <w:rPr>
          <w:rFonts w:asciiTheme="minorHAnsi" w:hAnsiTheme="minorHAnsi" w:cstheme="minorHAnsi"/>
          <w:lang w:val="de-DE"/>
        </w:rPr>
        <w:t xml:space="preserve"> u</w:t>
      </w:r>
      <w:r w:rsidRPr="00B2726B">
        <w:rPr>
          <w:rFonts w:asciiTheme="minorHAnsi" w:hAnsiTheme="minorHAnsi" w:cstheme="minorHAnsi"/>
          <w:lang w:val="de-DE"/>
        </w:rPr>
        <w:t>nd wie lange die Hospitalisierung dauerte.</w:t>
      </w:r>
    </w:p>
    <w:p w14:paraId="4D393EEA" w14:textId="77777777" w:rsidR="00B2726B" w:rsidRPr="00B2726B" w:rsidRDefault="00B2726B" w:rsidP="00B2726B">
      <w:pPr>
        <w:spacing w:line="360" w:lineRule="auto"/>
        <w:rPr>
          <w:rFonts w:asciiTheme="minorHAnsi" w:hAnsiTheme="minorHAnsi" w:cstheme="minorHAnsi"/>
          <w:lang w:val="de-DE"/>
        </w:rPr>
      </w:pPr>
    </w:p>
    <w:p w14:paraId="282F82AF"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Nach 90 und 180 Tagen nach Ihrer Teilnahme an der Studie werden wir Sie oder eine nahestehende Person telefonisch oder schriftlich kontaktieren, um nach Ihrer gesundheitsbezogenen Lebensqualität zu fragen.</w:t>
      </w:r>
    </w:p>
    <w:p w14:paraId="41B5361C" w14:textId="77777777" w:rsidR="00B2726B" w:rsidRPr="00B2726B" w:rsidRDefault="00B2726B" w:rsidP="00B2726B">
      <w:pPr>
        <w:spacing w:line="360" w:lineRule="auto"/>
        <w:rPr>
          <w:rFonts w:asciiTheme="minorHAnsi" w:hAnsiTheme="minorHAnsi" w:cstheme="minorHAnsi"/>
          <w:lang w:val="de-DE"/>
        </w:rPr>
      </w:pPr>
    </w:p>
    <w:p w14:paraId="5FE9B566"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Die Studie ist nicht verblindet, das heißt: Sie können auf Wunsch erfahren, mit welchem Antibiotikum Sie behandelt wurden – zum Beispiel im Rahmen eines Gesprächs mit der Studienärztin bzw. dem Studienarzt oder einem Mitglied des Studienteams.</w:t>
      </w:r>
    </w:p>
    <w:p w14:paraId="23E0F31B" w14:textId="77777777" w:rsidR="00B2726B" w:rsidRPr="00B2726B" w:rsidRDefault="00B2726B" w:rsidP="00B2726B">
      <w:pPr>
        <w:spacing w:line="360" w:lineRule="auto"/>
        <w:rPr>
          <w:rFonts w:asciiTheme="minorHAnsi" w:hAnsiTheme="minorHAnsi" w:cstheme="minorHAnsi"/>
          <w:b/>
          <w:bCs/>
          <w:lang w:val="de-DE"/>
        </w:rPr>
      </w:pPr>
    </w:p>
    <w:p w14:paraId="07DB1F9D"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Nutzen der Studie</w:t>
      </w:r>
    </w:p>
    <w:p w14:paraId="0F4A47A4" w14:textId="627DA246"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Wir können nicht garantieren, dass Sie einen direkten Nutzen von der Teilnahme an der Studie haben. Beide Antibiotika erhöhen nachweislich die Überlebenschancen bei Sepsis, aber wir wissen noch nicht, welches besser wirkt und weniger Nebenwirkungen hat. Ihre Teilnahme hilft dabei, die bestmögliche Behandlung von Sepsis besser zu verstehen.</w:t>
      </w:r>
    </w:p>
    <w:p w14:paraId="2FAB09F7" w14:textId="77777777" w:rsidR="00B2726B" w:rsidRPr="00B2726B" w:rsidRDefault="00B2726B" w:rsidP="00B2726B">
      <w:pPr>
        <w:spacing w:line="360" w:lineRule="auto"/>
        <w:rPr>
          <w:rFonts w:asciiTheme="minorHAnsi" w:hAnsiTheme="minorHAnsi" w:cstheme="minorHAnsi"/>
          <w:lang w:val="de-DE"/>
        </w:rPr>
      </w:pPr>
    </w:p>
    <w:p w14:paraId="483763AD" w14:textId="6C62622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 xml:space="preserve">Die Studie ist mit minimalen Risiken verbunden, da Patientinnen mit einem hohen Nebenwirkungsrisiko nicht teilnehmen dürfen. Beide Antibiotika werden bereits routinemäßig eingesetzt. Wir erwarten, dass die Studienergebnisse künftigen </w:t>
      </w:r>
      <w:r w:rsidR="00D71A75" w:rsidRPr="00B2726B">
        <w:rPr>
          <w:rFonts w:asciiTheme="minorHAnsi" w:hAnsiTheme="minorHAnsi" w:cstheme="minorHAnsi"/>
          <w:lang w:val="de-DE"/>
        </w:rPr>
        <w:t>Patientinnen</w:t>
      </w:r>
      <w:r w:rsidRPr="00B2726B">
        <w:rPr>
          <w:rFonts w:asciiTheme="minorHAnsi" w:hAnsiTheme="minorHAnsi" w:cstheme="minorHAnsi"/>
          <w:lang w:val="de-DE"/>
        </w:rPr>
        <w:t xml:space="preserve"> mit Sepsis zugutekommen.</w:t>
      </w:r>
    </w:p>
    <w:p w14:paraId="0FF7AFFA" w14:textId="77777777" w:rsidR="00B2726B" w:rsidRPr="00B2726B" w:rsidRDefault="00B2726B" w:rsidP="00B2726B">
      <w:pPr>
        <w:spacing w:line="360" w:lineRule="auto"/>
        <w:rPr>
          <w:rFonts w:asciiTheme="minorHAnsi" w:hAnsiTheme="minorHAnsi" w:cstheme="minorHAnsi"/>
          <w:b/>
          <w:bCs/>
          <w:lang w:val="de-DE"/>
        </w:rPr>
      </w:pPr>
    </w:p>
    <w:p w14:paraId="2C26D247"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Einschluss in die klinische Studie</w:t>
      </w:r>
    </w:p>
    <w:p w14:paraId="685DBA11"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Da diese Studie als Notfallstudie eingestuft ist, wurden Sie auf Basis der Ein- und Ausschlusskriterien bereits eingeschlossen.</w:t>
      </w:r>
    </w:p>
    <w:p w14:paraId="6EB81AEE" w14:textId="1294869D"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lastRenderedPageBreak/>
        <w:t xml:space="preserve">Diese Kriterien wurden sorgfältig geprüft und von den behandelnden </w:t>
      </w:r>
      <w:r w:rsidR="00D71A75" w:rsidRPr="00B2726B">
        <w:rPr>
          <w:rFonts w:asciiTheme="minorHAnsi" w:hAnsiTheme="minorHAnsi" w:cstheme="minorHAnsi"/>
          <w:b/>
          <w:bCs/>
          <w:lang w:val="de-DE"/>
        </w:rPr>
        <w:t>Ärztinnen</w:t>
      </w:r>
      <w:r w:rsidRPr="00B2726B">
        <w:rPr>
          <w:rFonts w:asciiTheme="minorHAnsi" w:hAnsiTheme="minorHAnsi" w:cstheme="minorHAnsi"/>
          <w:b/>
          <w:bCs/>
          <w:lang w:val="de-DE"/>
        </w:rPr>
        <w:t xml:space="preserve"> angewendet, um sicherzustellen, dass Ihre Teilnahme den Studienvorgaben entspricht.</w:t>
      </w:r>
    </w:p>
    <w:p w14:paraId="27EE06DC" w14:textId="77777777" w:rsidR="00B2726B" w:rsidRPr="00B2726B" w:rsidRDefault="00B2726B" w:rsidP="00B2726B">
      <w:pPr>
        <w:spacing w:line="360" w:lineRule="auto"/>
        <w:rPr>
          <w:rFonts w:asciiTheme="minorHAnsi" w:hAnsiTheme="minorHAnsi" w:cstheme="minorHAnsi"/>
          <w:b/>
          <w:bCs/>
          <w:lang w:val="de-DE"/>
        </w:rPr>
      </w:pPr>
    </w:p>
    <w:p w14:paraId="7189FD10" w14:textId="607E9062"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lang w:val="de-DE"/>
        </w:rPr>
        <w:t>Sie erfüllten folgende Einschlusskriterien</w:t>
      </w:r>
      <w:r>
        <w:rPr>
          <w:rFonts w:asciiTheme="minorHAnsi" w:hAnsiTheme="minorHAnsi" w:cstheme="minorHAnsi"/>
          <w:lang w:val="de-DE"/>
        </w:rPr>
        <w:t>:</w:t>
      </w:r>
    </w:p>
    <w:p w14:paraId="7C977010" w14:textId="77777777" w:rsidR="00B2726B" w:rsidRPr="00B2726B" w:rsidRDefault="00B2726B" w:rsidP="00B2726B">
      <w:pPr>
        <w:pStyle w:val="ListParagraph"/>
        <w:numPr>
          <w:ilvl w:val="0"/>
          <w:numId w:val="13"/>
        </w:numPr>
        <w:spacing w:line="360" w:lineRule="auto"/>
        <w:rPr>
          <w:rFonts w:asciiTheme="minorHAnsi" w:hAnsiTheme="minorHAnsi" w:cstheme="minorHAnsi"/>
          <w:lang w:val="de-DE"/>
        </w:rPr>
      </w:pPr>
      <w:r w:rsidRPr="00B2726B">
        <w:rPr>
          <w:rFonts w:asciiTheme="minorHAnsi" w:hAnsiTheme="minorHAnsi" w:cstheme="minorHAnsi"/>
          <w:lang w:val="de-DE"/>
        </w:rPr>
        <w:t>Sie waren 18 Jahre alt oder älter.</w:t>
      </w:r>
    </w:p>
    <w:p w14:paraId="67B41C8B" w14:textId="77777777" w:rsidR="00B2726B" w:rsidRPr="00B2726B" w:rsidRDefault="00B2726B" w:rsidP="00B2726B">
      <w:pPr>
        <w:pStyle w:val="ListParagraph"/>
        <w:numPr>
          <w:ilvl w:val="0"/>
          <w:numId w:val="13"/>
        </w:numPr>
        <w:spacing w:line="360" w:lineRule="auto"/>
        <w:rPr>
          <w:rFonts w:asciiTheme="minorHAnsi" w:hAnsiTheme="minorHAnsi" w:cstheme="minorHAnsi"/>
          <w:lang w:val="de-DE"/>
        </w:rPr>
      </w:pPr>
      <w:r w:rsidRPr="00B2726B">
        <w:rPr>
          <w:rFonts w:asciiTheme="minorHAnsi" w:hAnsiTheme="minorHAnsi" w:cstheme="minorHAnsi"/>
          <w:lang w:val="de-DE"/>
        </w:rPr>
        <w:t>Sie hatten eine Sepsis mit kritischem Verlauf, was z. B. eine hohe Sauerstoffzufuhr, Beatmung oder Kreislaufunterstützung erforderte.</w:t>
      </w:r>
    </w:p>
    <w:p w14:paraId="03B7E80D" w14:textId="77777777" w:rsidR="00B2726B" w:rsidRPr="00B2726B" w:rsidRDefault="00B2726B" w:rsidP="00B2726B">
      <w:pPr>
        <w:spacing w:line="360" w:lineRule="auto"/>
        <w:rPr>
          <w:rFonts w:asciiTheme="minorHAnsi" w:hAnsiTheme="minorHAnsi" w:cstheme="minorHAnsi"/>
          <w:b/>
          <w:bCs/>
          <w:lang w:val="de-DE"/>
        </w:rPr>
      </w:pPr>
    </w:p>
    <w:p w14:paraId="414DEF3F"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Sie erfüllten keine der folgenden Ausschlusskriterien:</w:t>
      </w:r>
    </w:p>
    <w:p w14:paraId="63C70462" w14:textId="77777777" w:rsidR="00B2726B" w:rsidRPr="00B2726B" w:rsidRDefault="00B2726B" w:rsidP="00B2726B">
      <w:pPr>
        <w:pStyle w:val="ListParagraph"/>
        <w:numPr>
          <w:ilvl w:val="0"/>
          <w:numId w:val="12"/>
        </w:numPr>
        <w:spacing w:line="360" w:lineRule="auto"/>
        <w:rPr>
          <w:rFonts w:asciiTheme="minorHAnsi" w:hAnsiTheme="minorHAnsi" w:cstheme="minorHAnsi"/>
          <w:lang w:val="de-DE"/>
        </w:rPr>
      </w:pPr>
      <w:r w:rsidRPr="00B2726B">
        <w:rPr>
          <w:rFonts w:asciiTheme="minorHAnsi" w:hAnsiTheme="minorHAnsi" w:cstheme="minorHAnsi"/>
          <w:lang w:val="de-DE"/>
        </w:rPr>
        <w:t>Sie hatten nicht länger als einen Tag vor Studienbeginn Meropenem oder Piperacillin/Tazobactam erhalten.</w:t>
      </w:r>
    </w:p>
    <w:p w14:paraId="50761280" w14:textId="77777777" w:rsidR="00B2726B" w:rsidRPr="00B2726B" w:rsidRDefault="00B2726B" w:rsidP="00B2726B">
      <w:pPr>
        <w:pStyle w:val="ListParagraph"/>
        <w:numPr>
          <w:ilvl w:val="0"/>
          <w:numId w:val="12"/>
        </w:numPr>
        <w:spacing w:line="360" w:lineRule="auto"/>
        <w:rPr>
          <w:rFonts w:asciiTheme="minorHAnsi" w:hAnsiTheme="minorHAnsi" w:cstheme="minorHAnsi"/>
          <w:lang w:val="de-DE"/>
        </w:rPr>
      </w:pPr>
      <w:r w:rsidRPr="00B2726B">
        <w:rPr>
          <w:rFonts w:asciiTheme="minorHAnsi" w:hAnsiTheme="minorHAnsi" w:cstheme="minorHAnsi"/>
          <w:lang w:val="de-DE"/>
        </w:rPr>
        <w:t>Sie waren nicht überempfindlich oder allergisch gegen Penicilline oder verwandte Antibiotika.</w:t>
      </w:r>
    </w:p>
    <w:p w14:paraId="7D9A3D63" w14:textId="77777777" w:rsidR="00B2726B" w:rsidRPr="00B2726B" w:rsidRDefault="00B2726B" w:rsidP="00B2726B">
      <w:pPr>
        <w:pStyle w:val="ListParagraph"/>
        <w:numPr>
          <w:ilvl w:val="0"/>
          <w:numId w:val="12"/>
        </w:numPr>
        <w:spacing w:line="360" w:lineRule="auto"/>
        <w:rPr>
          <w:rFonts w:asciiTheme="minorHAnsi" w:hAnsiTheme="minorHAnsi" w:cstheme="minorHAnsi"/>
          <w:lang w:val="de-DE"/>
        </w:rPr>
      </w:pPr>
      <w:r w:rsidRPr="00B2726B">
        <w:rPr>
          <w:rFonts w:asciiTheme="minorHAnsi" w:hAnsiTheme="minorHAnsi" w:cstheme="minorHAnsi"/>
          <w:lang w:val="de-DE"/>
        </w:rPr>
        <w:t>Es lag kein Verdacht oder Nachweis einer Infektion im Gehirn oder den Hirnhäuten vor.</w:t>
      </w:r>
    </w:p>
    <w:p w14:paraId="12D82BD2" w14:textId="77777777" w:rsidR="00B2726B" w:rsidRPr="00B2726B" w:rsidRDefault="00B2726B" w:rsidP="00B2726B">
      <w:pPr>
        <w:pStyle w:val="ListParagraph"/>
        <w:numPr>
          <w:ilvl w:val="0"/>
          <w:numId w:val="12"/>
        </w:numPr>
        <w:spacing w:line="360" w:lineRule="auto"/>
        <w:rPr>
          <w:rFonts w:asciiTheme="minorHAnsi" w:hAnsiTheme="minorHAnsi" w:cstheme="minorHAnsi"/>
          <w:lang w:val="de-DE"/>
        </w:rPr>
      </w:pPr>
      <w:r w:rsidRPr="00B2726B">
        <w:rPr>
          <w:rFonts w:asciiTheme="minorHAnsi" w:hAnsiTheme="minorHAnsi" w:cstheme="minorHAnsi"/>
          <w:lang w:val="de-DE"/>
        </w:rPr>
        <w:t>In den letzten drei Monaten hatten Sie keine Infektion mit resistenten Bakterien gegen Meropenem oder Piperacillin/Tazobactam.</w:t>
      </w:r>
    </w:p>
    <w:p w14:paraId="035818A0" w14:textId="77777777" w:rsidR="00B2726B" w:rsidRPr="00B2726B" w:rsidRDefault="00B2726B" w:rsidP="00B2726B">
      <w:pPr>
        <w:pStyle w:val="ListParagraph"/>
        <w:numPr>
          <w:ilvl w:val="0"/>
          <w:numId w:val="12"/>
        </w:numPr>
        <w:spacing w:line="360" w:lineRule="auto"/>
        <w:rPr>
          <w:rFonts w:asciiTheme="minorHAnsi" w:hAnsiTheme="minorHAnsi" w:cstheme="minorHAnsi"/>
          <w:lang w:val="de-DE"/>
        </w:rPr>
      </w:pPr>
      <w:r w:rsidRPr="00B2726B">
        <w:rPr>
          <w:rFonts w:asciiTheme="minorHAnsi" w:hAnsiTheme="minorHAnsi" w:cstheme="minorHAnsi"/>
          <w:lang w:val="de-DE"/>
        </w:rPr>
        <w:t>Sie erhielten keine Behandlung mit Valproat (ein Medikament, das häufig bei Epilepsie eingesetzt wird).</w:t>
      </w:r>
    </w:p>
    <w:p w14:paraId="7C12EA96" w14:textId="6213EC46" w:rsidR="00B2726B" w:rsidRPr="00B2726B" w:rsidRDefault="00D71A75" w:rsidP="00B2726B">
      <w:pPr>
        <w:pStyle w:val="ListParagraph"/>
        <w:numPr>
          <w:ilvl w:val="0"/>
          <w:numId w:val="12"/>
        </w:numPr>
        <w:spacing w:line="360" w:lineRule="auto"/>
        <w:rPr>
          <w:rFonts w:asciiTheme="minorHAnsi" w:hAnsiTheme="minorHAnsi" w:cstheme="minorHAnsi"/>
          <w:lang w:val="de-DE"/>
        </w:rPr>
      </w:pPr>
      <w:r w:rsidRPr="00D71A75">
        <w:rPr>
          <w:rFonts w:asciiTheme="minorHAnsi" w:hAnsiTheme="minorHAnsi" w:cstheme="minorHAnsi"/>
          <w:lang w:val="de-DE"/>
        </w:rPr>
        <w:t>Du warst NICHT schwanger</w:t>
      </w:r>
      <w:r w:rsidR="00B2726B" w:rsidRPr="00B2726B">
        <w:rPr>
          <w:rFonts w:asciiTheme="minorHAnsi" w:hAnsiTheme="minorHAnsi" w:cstheme="minorHAnsi"/>
          <w:lang w:val="de-DE"/>
        </w:rPr>
        <w:t>.</w:t>
      </w:r>
    </w:p>
    <w:p w14:paraId="7CBE7C9E" w14:textId="77777777" w:rsidR="00B2726B" w:rsidRPr="00B2726B" w:rsidRDefault="00B2726B" w:rsidP="00B2726B">
      <w:pPr>
        <w:spacing w:line="360" w:lineRule="auto"/>
        <w:rPr>
          <w:rFonts w:asciiTheme="minorHAnsi" w:hAnsiTheme="minorHAnsi" w:cstheme="minorHAnsi"/>
          <w:b/>
          <w:bCs/>
          <w:lang w:val="de-DE"/>
        </w:rPr>
      </w:pPr>
    </w:p>
    <w:p w14:paraId="32BFAA9E"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Beendigung der Teilnahme</w:t>
      </w:r>
    </w:p>
    <w:p w14:paraId="2981ED19" w14:textId="34205405"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Sie können Ihre Teilnahme an der klinischen Studie jederzeit und ohne Angabe von Gründen beenden. Dies hat keinerlei Einfluss auf Ihr Verhältnis zu den behandelnden Ärztinnen oder auf Ihre Behandlung. Sie werden weiterhin wie alle anderen Patientinnen behandelt. Auch das Studienteam kann entscheiden, Ihre Teilnahme zu beenden – in diesem Fall werden Sie über die Gründe informiert.</w:t>
      </w:r>
    </w:p>
    <w:p w14:paraId="78719991" w14:textId="77777777" w:rsidR="00B2726B" w:rsidRPr="00B2726B" w:rsidRDefault="00B2726B" w:rsidP="00B2726B">
      <w:pPr>
        <w:spacing w:line="360" w:lineRule="auto"/>
        <w:rPr>
          <w:rFonts w:asciiTheme="minorHAnsi" w:hAnsiTheme="minorHAnsi" w:cstheme="minorHAnsi"/>
          <w:lang w:val="de-DE"/>
        </w:rPr>
      </w:pPr>
    </w:p>
    <w:p w14:paraId="391D4670"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Wenn Sie Ihre Teilnahme beenden, kann Sie eine Studienärztin bzw. ein Studienarzt fragen, ob trotzdem eine weitere Datenerfassung und Nachbeobachtung bis zum Tag 180 erlaubt ist.</w:t>
      </w:r>
    </w:p>
    <w:p w14:paraId="0B518357" w14:textId="22039763"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lastRenderedPageBreak/>
        <w:t>Wird Ihre Teilnahme durch das Studienpersonal beendet, läuft die Datenerfassung ebenfalls bis 180 Tage weiter. Ein Widerruf hat keinen Einfluss auf bereits erfolgte Maßnahmen oder die Nutzung bereits erhobener Daten, die auf Basis der früheren Einwilligung erhoben wurden.</w:t>
      </w:r>
    </w:p>
    <w:p w14:paraId="51285C19"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Wenn Sie nicht einwilligen, haben Sie ebenfalls das Recht, der Nutzung bereits erhobener Daten zu widersprechen.</w:t>
      </w:r>
    </w:p>
    <w:p w14:paraId="14620D77" w14:textId="77777777" w:rsidR="00B2726B" w:rsidRPr="00B2726B" w:rsidRDefault="00B2726B" w:rsidP="00B2726B">
      <w:pPr>
        <w:spacing w:line="360" w:lineRule="auto"/>
        <w:rPr>
          <w:rFonts w:asciiTheme="minorHAnsi" w:hAnsiTheme="minorHAnsi" w:cstheme="minorHAnsi"/>
          <w:b/>
          <w:bCs/>
          <w:lang w:val="de-DE"/>
        </w:rPr>
      </w:pPr>
    </w:p>
    <w:p w14:paraId="10AB54AB"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Nachteile</w:t>
      </w:r>
    </w:p>
    <w:p w14:paraId="666F6B53" w14:textId="6A4C920C"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Die verwendeten Medikamente gehören zu den am häufigsten eingesetzten Antibiotika. Ihre Sicherheit und Nebenwirkungen sind gut bekannt. Trotzdem können – wie bei allen Medikamenten – unerwartete Reaktionen oder Komplikationen auftreten, auch im Rahmen von Studien.</w:t>
      </w:r>
    </w:p>
    <w:p w14:paraId="5B752F6F" w14:textId="77777777" w:rsidR="00B2726B" w:rsidRPr="00B2726B" w:rsidRDefault="00B2726B" w:rsidP="00B2726B">
      <w:pPr>
        <w:spacing w:line="360" w:lineRule="auto"/>
        <w:rPr>
          <w:rFonts w:asciiTheme="minorHAnsi" w:hAnsiTheme="minorHAnsi" w:cstheme="minorHAnsi"/>
          <w:b/>
          <w:bCs/>
          <w:lang w:val="de-DE"/>
        </w:rPr>
      </w:pPr>
    </w:p>
    <w:p w14:paraId="39A99ED3"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Nebenwirkungen, Risiken und Komplikationen</w:t>
      </w:r>
    </w:p>
    <w:p w14:paraId="3B3ED4E7"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Meropenem und Piperacillin/Tazobactam sind bekannte und häufig eingesetzte Antibiotika.</w:t>
      </w:r>
    </w:p>
    <w:p w14:paraId="174151CD" w14:textId="0B4BFFAA"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Häufige Nebenwirkungen sind: Durchfall, Bauchschmerzen, Übelkeit, Erbrechen, Juckreiz und Hautausschläge.</w:t>
      </w:r>
    </w:p>
    <w:p w14:paraId="3FEBEA2F" w14:textId="77777777" w:rsidR="00B2726B" w:rsidRPr="00B2726B" w:rsidRDefault="00B2726B" w:rsidP="00B2726B">
      <w:pPr>
        <w:spacing w:line="360" w:lineRule="auto"/>
        <w:rPr>
          <w:rFonts w:asciiTheme="minorHAnsi" w:hAnsiTheme="minorHAnsi" w:cstheme="minorHAnsi"/>
          <w:b/>
          <w:bCs/>
          <w:lang w:val="de-DE"/>
        </w:rPr>
      </w:pPr>
    </w:p>
    <w:p w14:paraId="5883D634"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Seltene, schwerwiegende Nebenwirkungen sind:</w:t>
      </w:r>
    </w:p>
    <w:p w14:paraId="088BB0F5" w14:textId="7A1D4A14"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Starke allergische Reaktionen, Pilzinfektionen, Dickdarmentzündungen sowie toxische epidermale Nekrolyse (eine schwere Hauterkrankung mit Blasenbildung und Hautablösung).</w:t>
      </w:r>
      <w:r>
        <w:rPr>
          <w:rFonts w:asciiTheme="minorHAnsi" w:hAnsiTheme="minorHAnsi" w:cstheme="minorHAnsi"/>
          <w:lang w:val="de-DE"/>
        </w:rPr>
        <w:t xml:space="preserve"> </w:t>
      </w:r>
      <w:r w:rsidRPr="00B2726B">
        <w:rPr>
          <w:rFonts w:asciiTheme="minorHAnsi" w:hAnsiTheme="minorHAnsi" w:cstheme="minorHAnsi"/>
          <w:lang w:val="de-DE"/>
        </w:rPr>
        <w:t>Es könnten Risiken bestehen, die derzeit noch nicht bekannt sind. Sollten neue Nebenwirkungen auftreten, werden Sie umgehend informiert.</w:t>
      </w:r>
    </w:p>
    <w:p w14:paraId="72105E73" w14:textId="77777777" w:rsidR="00B2726B" w:rsidRPr="00B2726B" w:rsidRDefault="00B2726B" w:rsidP="00B2726B">
      <w:pPr>
        <w:spacing w:line="360" w:lineRule="auto"/>
        <w:rPr>
          <w:rFonts w:asciiTheme="minorHAnsi" w:hAnsiTheme="minorHAnsi" w:cstheme="minorHAnsi"/>
          <w:b/>
          <w:bCs/>
          <w:lang w:val="de-DE"/>
        </w:rPr>
      </w:pPr>
    </w:p>
    <w:p w14:paraId="7904627E"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Vertraulichkeit und Datenschutz</w:t>
      </w:r>
    </w:p>
    <w:p w14:paraId="5882D001" w14:textId="697246B9"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Alle Daten werden vertraulich behandelt. In Berichten oder Veröffentlichungen zur Studie bleiben Sie anonym. Die dänische Arzneimittelbehörde, die GCP-Einheit (Good Clinical Practice) und die Studienleitung haben Zugriff auf Ihre vollständige Krankenakte, um die Durchführung der Studie sicherzustellen.</w:t>
      </w:r>
      <w:r>
        <w:rPr>
          <w:rFonts w:asciiTheme="minorHAnsi" w:hAnsiTheme="minorHAnsi" w:cstheme="minorHAnsi"/>
          <w:lang w:val="de-DE"/>
        </w:rPr>
        <w:t xml:space="preserve"> </w:t>
      </w:r>
      <w:r w:rsidRPr="00B2726B">
        <w:rPr>
          <w:rFonts w:asciiTheme="minorHAnsi" w:hAnsiTheme="minorHAnsi" w:cstheme="minorHAnsi"/>
          <w:lang w:val="de-DE"/>
        </w:rPr>
        <w:t>Alle Beteiligten unterliegen der Schweigepflicht. Die Verarbeitung Ihrer personenbezogenen Daten erfolgt im Einklang mit der Datenschutz-Grundverordnung (DSGVO) und dem dänischen Datenschutzgesetz.</w:t>
      </w:r>
      <w:r>
        <w:rPr>
          <w:rFonts w:asciiTheme="minorHAnsi" w:hAnsiTheme="minorHAnsi" w:cstheme="minorHAnsi"/>
          <w:lang w:val="de-DE"/>
        </w:rPr>
        <w:t xml:space="preserve"> </w:t>
      </w:r>
      <w:r w:rsidRPr="00B2726B">
        <w:rPr>
          <w:rFonts w:asciiTheme="minorHAnsi" w:hAnsiTheme="minorHAnsi" w:cstheme="minorHAnsi"/>
          <w:lang w:val="de-DE"/>
        </w:rPr>
        <w:t xml:space="preserve">Daten können in anonymisierter Form an andere </w:t>
      </w:r>
      <w:r w:rsidRPr="00B2726B">
        <w:rPr>
          <w:rFonts w:asciiTheme="minorHAnsi" w:hAnsiTheme="minorHAnsi" w:cstheme="minorHAnsi"/>
          <w:lang w:val="de-DE"/>
        </w:rPr>
        <w:lastRenderedPageBreak/>
        <w:t>Forschende weitergegeben werden – oder in nicht-anonymisierter Form mit entsprechender Genehmigung.</w:t>
      </w:r>
    </w:p>
    <w:p w14:paraId="2390B8D6" w14:textId="77777777" w:rsidR="00B2726B" w:rsidRDefault="00B2726B" w:rsidP="00B2726B">
      <w:pPr>
        <w:spacing w:line="360" w:lineRule="auto"/>
        <w:rPr>
          <w:rFonts w:asciiTheme="minorHAnsi" w:hAnsiTheme="minorHAnsi" w:cstheme="minorHAnsi"/>
          <w:b/>
          <w:bCs/>
          <w:lang w:val="de-DE"/>
        </w:rPr>
      </w:pPr>
    </w:p>
    <w:p w14:paraId="204551BD" w14:textId="2D72AE2D" w:rsidR="007E0F85" w:rsidRPr="00B2726B" w:rsidRDefault="00087562" w:rsidP="00B2726B">
      <w:pPr>
        <w:spacing w:line="360" w:lineRule="auto"/>
        <w:rPr>
          <w:rFonts w:asciiTheme="minorHAnsi" w:hAnsiTheme="minorHAnsi" w:cstheme="minorHAnsi"/>
          <w:b/>
          <w:bCs/>
          <w:lang w:val="en-US"/>
        </w:rPr>
      </w:pPr>
      <w:r w:rsidRPr="00B2726B">
        <w:rPr>
          <w:rFonts w:asciiTheme="minorHAnsi" w:hAnsiTheme="minorHAnsi" w:cstheme="minorHAnsi"/>
          <w:b/>
          <w:bCs/>
          <w:lang w:val="en-US"/>
        </w:rPr>
        <w:t xml:space="preserve">Funding of the </w:t>
      </w:r>
      <w:r w:rsidR="00826E02" w:rsidRPr="00B2726B">
        <w:rPr>
          <w:rFonts w:asciiTheme="minorHAnsi" w:hAnsiTheme="minorHAnsi" w:cstheme="minorHAnsi"/>
          <w:b/>
          <w:bCs/>
          <w:lang w:val="en-US"/>
        </w:rPr>
        <w:t>clinical trial</w:t>
      </w:r>
    </w:p>
    <w:bookmarkEnd w:id="0"/>
    <w:p w14:paraId="118EEF33" w14:textId="0FEABAD6" w:rsidR="00087562" w:rsidRPr="00087562" w:rsidRDefault="00B2726B" w:rsidP="00087562">
      <w:pPr>
        <w:spacing w:line="360" w:lineRule="auto"/>
        <w:rPr>
          <w:rFonts w:asciiTheme="minorHAnsi" w:hAnsiTheme="minorHAnsi" w:cstheme="minorHAnsi"/>
        </w:rPr>
      </w:pPr>
      <w:r w:rsidRPr="00B2726B">
        <w:rPr>
          <w:rFonts w:asciiTheme="minorHAnsi" w:hAnsiTheme="minorHAnsi" w:cstheme="minorHAnsi"/>
        </w:rPr>
        <w:t>Die Studie wird durch folgende Institutionen gefördert:</w:t>
      </w:r>
      <w:r>
        <w:rPr>
          <w:rFonts w:asciiTheme="minorHAnsi" w:hAnsiTheme="minorHAnsi" w:cstheme="minorHAnsi"/>
        </w:rPr>
        <w:t xml:space="preserve"> </w:t>
      </w:r>
      <w:r w:rsidR="00306D77">
        <w:rPr>
          <w:rFonts w:asciiTheme="minorHAnsi" w:hAnsiTheme="minorHAnsi" w:cstheme="minorHAnsi"/>
        </w:rPr>
        <w:t>the Independent Research Fund Denmark</w:t>
      </w:r>
      <w:r w:rsidR="00087562" w:rsidRPr="00087562">
        <w:rPr>
          <w:rFonts w:asciiTheme="minorHAnsi" w:hAnsiTheme="minorHAnsi" w:cstheme="minorHAnsi"/>
        </w:rPr>
        <w:t xml:space="preserve"> (4,220,996 DKK), the Research Committee at Rigshospitalet (2,040,000 DKK), the Research Fund for Health Research in the Capital Region (1,740,428 DKK), the Beckett Foundation (100,000 DKK), Dr. Inger Goldmann’s Foundation (100,000 DKK), and Grosserer Jakob Ehrenreich and Wife Grete Ehrenreich's Foundation (512,000 DKK).</w:t>
      </w:r>
    </w:p>
    <w:p w14:paraId="337B4022" w14:textId="77777777" w:rsidR="00087562" w:rsidRPr="00087562" w:rsidRDefault="00087562" w:rsidP="00087562">
      <w:pPr>
        <w:spacing w:line="360" w:lineRule="auto"/>
        <w:rPr>
          <w:rFonts w:asciiTheme="minorHAnsi" w:hAnsiTheme="minorHAnsi" w:cstheme="minorHAnsi"/>
        </w:rPr>
      </w:pPr>
    </w:p>
    <w:p w14:paraId="4498B2D3" w14:textId="38A270DA" w:rsidR="00087562" w:rsidRPr="00087562" w:rsidRDefault="00B2726B" w:rsidP="00B2726B">
      <w:pPr>
        <w:spacing w:line="360" w:lineRule="auto"/>
        <w:rPr>
          <w:rFonts w:asciiTheme="minorHAnsi" w:hAnsiTheme="minorHAnsi" w:cstheme="minorHAnsi"/>
        </w:rPr>
      </w:pPr>
      <w:r w:rsidRPr="00B2726B">
        <w:rPr>
          <w:rFonts w:asciiTheme="minorHAnsi" w:hAnsiTheme="minorHAnsi" w:cstheme="minorHAnsi"/>
        </w:rPr>
        <w:t xml:space="preserve">Zusätzlich wird die Studie durch das INCEPT-Programm (www.incept.dk) unterstützt, finanziert durch: </w:t>
      </w:r>
      <w:r w:rsidR="00087562" w:rsidRPr="00087562">
        <w:rPr>
          <w:rFonts w:asciiTheme="minorHAnsi" w:hAnsiTheme="minorHAnsi" w:cstheme="minorHAnsi"/>
        </w:rPr>
        <w:t>Novo Nordisk Foundation (29,985,000 DKK) and Sygeforsikringen "danmark" (7,300,000 DKK</w:t>
      </w:r>
      <w:r w:rsidR="00007A93" w:rsidRPr="00087562">
        <w:rPr>
          <w:rFonts w:asciiTheme="minorHAnsi" w:hAnsiTheme="minorHAnsi" w:cstheme="minorHAnsi"/>
        </w:rPr>
        <w:t>) and</w:t>
      </w:r>
      <w:r w:rsidR="00087562" w:rsidRPr="00087562">
        <w:rPr>
          <w:rFonts w:asciiTheme="minorHAnsi" w:hAnsiTheme="minorHAnsi" w:cstheme="minorHAnsi"/>
        </w:rPr>
        <w:t xml:space="preserve"> is supported by additional contributions from Grosserer Jakob Ehrenreich and Wife Grete Ehrenreich's Foundation (200,000 DKK), Dagmar Marshall's Foundation (93,516 DKK), and Savværksejer Jeppe Juhl and Wife Ovita Juhl's Memory Grant (1,000,000 DKK).</w:t>
      </w:r>
    </w:p>
    <w:p w14:paraId="5F0A43E3" w14:textId="77777777"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Die Geldgeber haben keinen Einfluss auf Studiendesign, Durchführung, Auswertung oder Veröffentlichung und keinen Anspruch auf die erhobenen Daten.</w:t>
      </w:r>
    </w:p>
    <w:p w14:paraId="27DB41D2" w14:textId="77777777" w:rsidR="00B2726B" w:rsidRPr="00B2726B" w:rsidRDefault="00B2726B" w:rsidP="00B2726B">
      <w:pPr>
        <w:spacing w:line="360" w:lineRule="auto"/>
        <w:rPr>
          <w:rFonts w:asciiTheme="minorHAnsi" w:hAnsiTheme="minorHAnsi" w:cstheme="minorHAnsi"/>
          <w:lang w:val="de-DE"/>
        </w:rPr>
      </w:pPr>
    </w:p>
    <w:p w14:paraId="2178CD6A" w14:textId="09B34129" w:rsidR="00B2726B"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Die Mittel decken Gehälter von Forscherinnen, Projektpflegekräften, Datenanalyst: innen und Verwaltungskosten (z. B. Datenmanagement, Sicherheitsüberwachung, Ethikanträge, Versicherungen).</w:t>
      </w:r>
    </w:p>
    <w:p w14:paraId="348E8864" w14:textId="77777777" w:rsidR="00087562" w:rsidRPr="00D71A75" w:rsidRDefault="00087562" w:rsidP="00087562">
      <w:pPr>
        <w:spacing w:line="360" w:lineRule="auto"/>
        <w:rPr>
          <w:rFonts w:asciiTheme="minorHAnsi" w:hAnsiTheme="minorHAnsi" w:cstheme="minorHAnsi"/>
          <w:b/>
          <w:bCs/>
          <w:lang w:val="de-DE"/>
        </w:rPr>
      </w:pPr>
    </w:p>
    <w:p w14:paraId="1F6F8765" w14:textId="44609BBF" w:rsidR="00087562" w:rsidRPr="00B2726B" w:rsidRDefault="00B2726B" w:rsidP="00087562">
      <w:pPr>
        <w:spacing w:line="360" w:lineRule="auto"/>
        <w:rPr>
          <w:rFonts w:asciiTheme="minorHAnsi" w:hAnsiTheme="minorHAnsi" w:cstheme="minorHAnsi"/>
          <w:b/>
          <w:bCs/>
          <w:lang w:val="de-DE"/>
        </w:rPr>
      </w:pPr>
      <w:r>
        <w:rPr>
          <w:rFonts w:asciiTheme="minorHAnsi" w:hAnsiTheme="minorHAnsi" w:cstheme="minorHAnsi"/>
          <w:b/>
          <w:bCs/>
          <w:lang w:val="de-DE"/>
        </w:rPr>
        <w:t xml:space="preserve">Versicherung </w:t>
      </w:r>
    </w:p>
    <w:p w14:paraId="55CDEDAB" w14:textId="6B0FA4A6" w:rsidR="00087562" w:rsidRDefault="00B2726B" w:rsidP="00087562">
      <w:pPr>
        <w:spacing w:line="360" w:lineRule="auto"/>
        <w:rPr>
          <w:rFonts w:asciiTheme="minorHAnsi" w:hAnsiTheme="minorHAnsi" w:cstheme="minorHAnsi"/>
          <w:lang w:val="de-DE"/>
        </w:rPr>
      </w:pPr>
      <w:r w:rsidRPr="00B2726B">
        <w:rPr>
          <w:rFonts w:asciiTheme="minorHAnsi" w:hAnsiTheme="minorHAnsi" w:cstheme="minorHAnsi"/>
          <w:lang w:val="de-DE"/>
        </w:rPr>
        <w:t>Während Ihrer Teilnahme an der Studie sind Sie über die Patientenentschädigung (Patienterstatningen) versichert.</w:t>
      </w:r>
    </w:p>
    <w:p w14:paraId="0BF7AE26" w14:textId="77777777" w:rsidR="00B2726B" w:rsidRPr="00B2726B" w:rsidRDefault="00B2726B" w:rsidP="00087562">
      <w:pPr>
        <w:spacing w:line="360" w:lineRule="auto"/>
        <w:rPr>
          <w:rFonts w:asciiTheme="minorHAnsi" w:hAnsiTheme="minorHAnsi" w:cstheme="minorHAnsi"/>
          <w:b/>
          <w:bCs/>
          <w:lang w:val="de-DE"/>
        </w:rPr>
      </w:pPr>
    </w:p>
    <w:p w14:paraId="790EBFC2" w14:textId="77777777" w:rsidR="00B2726B" w:rsidRPr="00B2726B" w:rsidRDefault="00B2726B" w:rsidP="00B2726B">
      <w:pPr>
        <w:spacing w:line="360" w:lineRule="auto"/>
        <w:rPr>
          <w:rFonts w:asciiTheme="minorHAnsi" w:hAnsiTheme="minorHAnsi" w:cstheme="minorHAnsi"/>
          <w:b/>
          <w:bCs/>
          <w:lang w:val="de-DE"/>
        </w:rPr>
      </w:pPr>
      <w:r w:rsidRPr="00B2726B">
        <w:rPr>
          <w:rFonts w:asciiTheme="minorHAnsi" w:hAnsiTheme="minorHAnsi" w:cstheme="minorHAnsi"/>
          <w:b/>
          <w:bCs/>
          <w:lang w:val="de-DE"/>
        </w:rPr>
        <w:t>Zugang zu Studienergebnissen</w:t>
      </w:r>
    </w:p>
    <w:p w14:paraId="55F694F0" w14:textId="0BEC86D4" w:rsidR="00087562" w:rsidRPr="00B2726B" w:rsidRDefault="00B2726B" w:rsidP="00B2726B">
      <w:pPr>
        <w:spacing w:line="360" w:lineRule="auto"/>
        <w:rPr>
          <w:rFonts w:asciiTheme="minorHAnsi" w:hAnsiTheme="minorHAnsi" w:cstheme="minorHAnsi"/>
          <w:lang w:val="de-DE"/>
        </w:rPr>
      </w:pPr>
      <w:r w:rsidRPr="00B2726B">
        <w:rPr>
          <w:rFonts w:asciiTheme="minorHAnsi" w:hAnsiTheme="minorHAnsi" w:cstheme="minorHAnsi"/>
          <w:lang w:val="de-DE"/>
        </w:rPr>
        <w:t>Nach Abschluss der Studie werden die Ergebnisse in einem internationalen Fachjournal veröffentlicht. Eine Zusammenfassung in allgemein verständlicher Sprache wird zusätzlich in der EU-Datenbank (euclinicaltrials.eu) bereitgestellt. Wenn Sie Informationen zu den Ergebnissen wünschen, können Sie die untenstehenden Ansprechpartner kontaktieren.</w:t>
      </w:r>
    </w:p>
    <w:p w14:paraId="7B402BA2" w14:textId="77777777" w:rsidR="009A37B2" w:rsidRPr="00B2726B" w:rsidRDefault="009A37B2" w:rsidP="007E0F85">
      <w:pPr>
        <w:spacing w:line="360" w:lineRule="auto"/>
        <w:rPr>
          <w:rFonts w:asciiTheme="minorHAnsi" w:hAnsiTheme="minorHAnsi" w:cstheme="minorHAnsi"/>
          <w:color w:val="000000"/>
          <w:lang w:val="de-DE"/>
        </w:rPr>
      </w:pPr>
    </w:p>
    <w:p w14:paraId="3B3495D3" w14:textId="77777777" w:rsidR="00B2726B" w:rsidRPr="00B2726B" w:rsidRDefault="00B2726B" w:rsidP="00B2726B">
      <w:pPr>
        <w:spacing w:after="200" w:line="360" w:lineRule="auto"/>
        <w:rPr>
          <w:rFonts w:asciiTheme="minorHAnsi" w:hAnsiTheme="minorHAnsi" w:cstheme="minorHAnsi"/>
          <w:b/>
          <w:bCs/>
          <w:lang w:val="de-DE"/>
        </w:rPr>
      </w:pPr>
      <w:bookmarkStart w:id="1" w:name="_Hlk35885694"/>
      <w:bookmarkStart w:id="2" w:name="_Hlk35885575"/>
      <w:r w:rsidRPr="00B2726B">
        <w:rPr>
          <w:rFonts w:asciiTheme="minorHAnsi" w:hAnsiTheme="minorHAnsi" w:cstheme="minorHAnsi"/>
          <w:b/>
          <w:bCs/>
          <w:lang w:val="de-DE"/>
        </w:rPr>
        <w:t>Kontakt</w:t>
      </w:r>
    </w:p>
    <w:p w14:paraId="6B64852F" w14:textId="77777777" w:rsidR="00B2726B" w:rsidRPr="00B2726B" w:rsidRDefault="00B2726B" w:rsidP="00B2726B">
      <w:pPr>
        <w:spacing w:after="200" w:line="360" w:lineRule="auto"/>
        <w:rPr>
          <w:rFonts w:asciiTheme="minorHAnsi" w:hAnsiTheme="minorHAnsi" w:cstheme="minorHAnsi"/>
          <w:lang w:val="de-DE"/>
        </w:rPr>
      </w:pPr>
      <w:r w:rsidRPr="00B2726B">
        <w:rPr>
          <w:rFonts w:asciiTheme="minorHAnsi" w:hAnsiTheme="minorHAnsi" w:cstheme="minorHAnsi"/>
          <w:lang w:val="de-DE"/>
        </w:rPr>
        <w:t>Wir hoffen, dass diese Informationen Ihnen einen guten Einblick in die Studie geben und Ihnen helfen, eine informierte Entscheidung zu treffen. Weitere Informationen erhalten Sie auf Anfrage bei den untenstehenden Ansprechpartnern.</w:t>
      </w:r>
    </w:p>
    <w:p w14:paraId="4E18F2D2" w14:textId="0A564B7F" w:rsidR="00DC266E" w:rsidRPr="00B2726B" w:rsidRDefault="00B2726B" w:rsidP="00B2726B">
      <w:pPr>
        <w:spacing w:after="200" w:line="360" w:lineRule="auto"/>
        <w:rPr>
          <w:rFonts w:asciiTheme="minorHAnsi" w:hAnsiTheme="minorHAnsi" w:cstheme="minorHAnsi"/>
          <w:lang w:val="de-DE"/>
        </w:rPr>
      </w:pPr>
      <w:r w:rsidRPr="00B2726B">
        <w:rPr>
          <w:rFonts w:asciiTheme="minorHAnsi" w:hAnsiTheme="minorHAnsi" w:cstheme="minorHAnsi"/>
          <w:lang w:val="de-DE"/>
        </w:rPr>
        <w:t>Bitte lesen Sie auch das beigefügte Dokument „Ihre Rechte als Teilnehmer:in an Arzneimittelstudien“ des Nationalen Ausschusses für Gesundheitsforschungsethik.</w:t>
      </w:r>
    </w:p>
    <w:p w14:paraId="360FF919" w14:textId="3402B18E" w:rsidR="00124F4C" w:rsidRPr="00087562" w:rsidRDefault="00087562" w:rsidP="007E0F85">
      <w:pPr>
        <w:pStyle w:val="BodyText2"/>
        <w:spacing w:line="360" w:lineRule="auto"/>
        <w:rPr>
          <w:rFonts w:asciiTheme="minorHAnsi" w:hAnsiTheme="minorHAnsi" w:cstheme="minorHAnsi"/>
          <w:b w:val="0"/>
          <w:sz w:val="24"/>
          <w:szCs w:val="24"/>
        </w:rPr>
        <w:sectPr w:rsidR="00124F4C" w:rsidRPr="00087562"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pPr>
      <w:bookmarkStart w:id="3" w:name="_Hlk192136788"/>
      <w:r w:rsidRPr="00087562">
        <w:rPr>
          <w:rFonts w:asciiTheme="minorHAnsi" w:hAnsiTheme="minorHAnsi" w:cstheme="minorHAnsi"/>
          <w:b w:val="0"/>
          <w:sz w:val="24"/>
          <w:szCs w:val="24"/>
        </w:rPr>
        <w:t>On behalf of the EMPRESS</w:t>
      </w:r>
      <w:r w:rsidR="00691A26">
        <w:rPr>
          <w:rFonts w:asciiTheme="minorHAnsi" w:hAnsiTheme="minorHAnsi" w:cstheme="minorHAnsi"/>
          <w:b w:val="0"/>
          <w:sz w:val="24"/>
          <w:szCs w:val="24"/>
        </w:rPr>
        <w:t xml:space="preserve"> </w:t>
      </w:r>
      <w:r w:rsidR="001C4D88">
        <w:rPr>
          <w:rFonts w:asciiTheme="minorHAnsi" w:hAnsiTheme="minorHAnsi" w:cstheme="minorHAnsi"/>
          <w:b w:val="0"/>
          <w:sz w:val="24"/>
          <w:szCs w:val="24"/>
        </w:rPr>
        <w:t>management</w:t>
      </w:r>
      <w:r w:rsidR="001C4D88" w:rsidRPr="00087562">
        <w:rPr>
          <w:rFonts w:asciiTheme="minorHAnsi" w:hAnsiTheme="minorHAnsi" w:cstheme="minorHAnsi"/>
          <w:b w:val="0"/>
          <w:sz w:val="24"/>
          <w:szCs w:val="24"/>
        </w:rPr>
        <w:t xml:space="preserve"> </w:t>
      </w:r>
      <w:r w:rsidRPr="00087562">
        <w:rPr>
          <w:rFonts w:asciiTheme="minorHAnsi" w:hAnsiTheme="minorHAnsi" w:cstheme="minorHAnsi"/>
          <w:b w:val="0"/>
          <w:sz w:val="24"/>
          <w:szCs w:val="24"/>
        </w:rPr>
        <w:t>committee</w:t>
      </w:r>
      <w:r w:rsidR="00BC232C" w:rsidRPr="00087562">
        <w:rPr>
          <w:rFonts w:asciiTheme="minorHAnsi" w:hAnsiTheme="minorHAnsi" w:cstheme="minorHAnsi"/>
          <w:b w:val="0"/>
          <w:sz w:val="24"/>
          <w:szCs w:val="24"/>
        </w:rPr>
        <w:t>,</w:t>
      </w:r>
    </w:p>
    <w:bookmarkEnd w:id="1"/>
    <w:bookmarkEnd w:id="2"/>
    <w:p w14:paraId="626A20CE" w14:textId="77777777" w:rsidR="009A37B2" w:rsidRPr="00087562" w:rsidRDefault="009A37B2" w:rsidP="007E0F85">
      <w:pPr>
        <w:pStyle w:val="BodyText2"/>
        <w:spacing w:line="360" w:lineRule="auto"/>
        <w:rPr>
          <w:rFonts w:asciiTheme="minorHAnsi" w:hAnsiTheme="minorHAnsi" w:cstheme="minorHAnsi"/>
          <w:b w:val="0"/>
          <w:sz w:val="24"/>
          <w:szCs w:val="24"/>
        </w:rPr>
      </w:pPr>
    </w:p>
    <w:p w14:paraId="6A888CEF" w14:textId="77777777" w:rsidR="00B2726B" w:rsidRPr="00B2726B" w:rsidRDefault="00B2726B" w:rsidP="00B2726B">
      <w:pPr>
        <w:pStyle w:val="BodyText2"/>
        <w:spacing w:line="360" w:lineRule="auto"/>
        <w:rPr>
          <w:rFonts w:asciiTheme="minorHAnsi" w:hAnsiTheme="minorHAnsi" w:cstheme="minorHAnsi"/>
          <w:b w:val="0"/>
          <w:lang w:val="de-DE"/>
        </w:rPr>
      </w:pPr>
      <w:r w:rsidRPr="00B2726B">
        <w:rPr>
          <w:rFonts w:asciiTheme="minorHAnsi" w:hAnsiTheme="minorHAnsi" w:cstheme="minorHAnsi"/>
          <w:b w:val="0"/>
          <w:lang w:val="de-DE"/>
        </w:rPr>
        <w:t>Im Namen des EMPRESS-Studienleitungsteams:</w:t>
      </w:r>
    </w:p>
    <w:p w14:paraId="1393A829" w14:textId="77777777" w:rsidR="00B2726B" w:rsidRPr="00B2726B" w:rsidRDefault="00B2726B" w:rsidP="00B2726B">
      <w:pPr>
        <w:pStyle w:val="BodyText2"/>
        <w:spacing w:line="360" w:lineRule="auto"/>
        <w:rPr>
          <w:rFonts w:asciiTheme="minorHAnsi" w:hAnsiTheme="minorHAnsi" w:cstheme="minorHAnsi"/>
          <w:b w:val="0"/>
          <w:sz w:val="20"/>
          <w:szCs w:val="20"/>
          <w:lang w:val="de-DE"/>
        </w:rPr>
      </w:pPr>
    </w:p>
    <w:p w14:paraId="22A6DFA0" w14:textId="77777777" w:rsidR="00B2726B" w:rsidRPr="00B2726B" w:rsidRDefault="00B2726B" w:rsidP="00B2726B">
      <w:pPr>
        <w:pStyle w:val="BodyText2"/>
        <w:spacing w:line="360" w:lineRule="auto"/>
        <w:rPr>
          <w:rFonts w:asciiTheme="minorHAnsi" w:hAnsiTheme="minorHAnsi" w:cstheme="minorHAnsi"/>
          <w:b w:val="0"/>
          <w:sz w:val="20"/>
          <w:szCs w:val="20"/>
          <w:lang w:val="de-DE"/>
        </w:rPr>
      </w:pPr>
      <w:r w:rsidRPr="00B2726B">
        <w:rPr>
          <w:rFonts w:asciiTheme="minorHAnsi" w:hAnsiTheme="minorHAnsi" w:cstheme="minorHAnsi"/>
          <w:b w:val="0"/>
          <w:sz w:val="20"/>
          <w:szCs w:val="20"/>
          <w:lang w:val="de-DE"/>
        </w:rPr>
        <w:t>[Name einfügen], Studienärzt:in vor Ort</w:t>
      </w:r>
    </w:p>
    <w:p w14:paraId="76DDAF79" w14:textId="77777777" w:rsidR="00B2726B" w:rsidRPr="00B2726B" w:rsidRDefault="00B2726B" w:rsidP="00B2726B">
      <w:pPr>
        <w:pStyle w:val="BodyText2"/>
        <w:spacing w:line="360" w:lineRule="auto"/>
        <w:rPr>
          <w:rFonts w:asciiTheme="minorHAnsi" w:hAnsiTheme="minorHAnsi" w:cstheme="minorHAnsi"/>
          <w:b w:val="0"/>
          <w:sz w:val="20"/>
          <w:szCs w:val="20"/>
          <w:lang w:val="de-DE"/>
        </w:rPr>
      </w:pPr>
      <w:r w:rsidRPr="00B2726B">
        <w:rPr>
          <w:rFonts w:asciiTheme="minorHAnsi" w:hAnsiTheme="minorHAnsi" w:cstheme="minorHAnsi"/>
          <w:b w:val="0"/>
          <w:sz w:val="20"/>
          <w:szCs w:val="20"/>
          <w:lang w:val="de-DE"/>
        </w:rPr>
        <w:t>[Titel]</w:t>
      </w:r>
    </w:p>
    <w:p w14:paraId="31A1B78F" w14:textId="77777777" w:rsidR="00B2726B" w:rsidRPr="00B2726B" w:rsidRDefault="00B2726B" w:rsidP="00B2726B">
      <w:pPr>
        <w:pStyle w:val="BodyText2"/>
        <w:spacing w:line="360" w:lineRule="auto"/>
        <w:rPr>
          <w:rFonts w:asciiTheme="minorHAnsi" w:hAnsiTheme="minorHAnsi" w:cstheme="minorHAnsi"/>
          <w:b w:val="0"/>
          <w:sz w:val="20"/>
          <w:szCs w:val="20"/>
          <w:lang w:val="de-DE"/>
        </w:rPr>
      </w:pPr>
      <w:r w:rsidRPr="00B2726B">
        <w:rPr>
          <w:rFonts w:asciiTheme="minorHAnsi" w:hAnsiTheme="minorHAnsi" w:cstheme="minorHAnsi"/>
          <w:b w:val="0"/>
          <w:sz w:val="20"/>
          <w:szCs w:val="20"/>
          <w:lang w:val="de-DE"/>
        </w:rPr>
        <w:t>[Abteilung]</w:t>
      </w:r>
    </w:p>
    <w:p w14:paraId="240BB381" w14:textId="77777777" w:rsidR="00B2726B" w:rsidRPr="00B2726B" w:rsidRDefault="00B2726B" w:rsidP="00B2726B">
      <w:pPr>
        <w:pStyle w:val="BodyText2"/>
        <w:spacing w:line="360" w:lineRule="auto"/>
        <w:rPr>
          <w:rFonts w:asciiTheme="minorHAnsi" w:hAnsiTheme="minorHAnsi" w:cstheme="minorHAnsi"/>
          <w:b w:val="0"/>
          <w:sz w:val="20"/>
          <w:szCs w:val="20"/>
          <w:lang w:val="de-DE"/>
        </w:rPr>
      </w:pPr>
      <w:r w:rsidRPr="00B2726B">
        <w:rPr>
          <w:rFonts w:asciiTheme="minorHAnsi" w:hAnsiTheme="minorHAnsi" w:cstheme="minorHAnsi"/>
          <w:b w:val="0"/>
          <w:sz w:val="20"/>
          <w:szCs w:val="20"/>
          <w:lang w:val="de-DE"/>
        </w:rPr>
        <w:t>[Adresse]</w:t>
      </w:r>
    </w:p>
    <w:p w14:paraId="6FF22B6F" w14:textId="77777777" w:rsidR="00B2726B" w:rsidRPr="00B2726B" w:rsidRDefault="00B2726B" w:rsidP="00B2726B">
      <w:pPr>
        <w:pStyle w:val="BodyText2"/>
        <w:spacing w:line="360" w:lineRule="auto"/>
        <w:rPr>
          <w:rFonts w:asciiTheme="minorHAnsi" w:hAnsiTheme="minorHAnsi" w:cstheme="minorHAnsi"/>
          <w:b w:val="0"/>
          <w:sz w:val="20"/>
          <w:szCs w:val="20"/>
          <w:lang w:val="de-DE"/>
        </w:rPr>
      </w:pPr>
      <w:r w:rsidRPr="00B2726B">
        <w:rPr>
          <w:rFonts w:asciiTheme="minorHAnsi" w:hAnsiTheme="minorHAnsi" w:cstheme="minorHAnsi"/>
          <w:b w:val="0"/>
          <w:sz w:val="20"/>
          <w:szCs w:val="20"/>
          <w:lang w:val="de-DE"/>
        </w:rPr>
        <w:t>[Telefon]</w:t>
      </w:r>
    </w:p>
    <w:p w14:paraId="5DFC23D3" w14:textId="38793DC8" w:rsidR="00D43889" w:rsidRPr="00B2726B" w:rsidRDefault="00B2726B" w:rsidP="00B2726B">
      <w:pPr>
        <w:pStyle w:val="BodyText2"/>
        <w:spacing w:line="360" w:lineRule="auto"/>
        <w:rPr>
          <w:rFonts w:asciiTheme="minorHAnsi" w:hAnsiTheme="minorHAnsi" w:cstheme="minorBidi"/>
          <w:b w:val="0"/>
          <w:bCs w:val="0"/>
          <w:sz w:val="24"/>
          <w:szCs w:val="24"/>
          <w:lang w:val="de-DE"/>
        </w:rPr>
      </w:pPr>
      <w:r w:rsidRPr="00B2726B">
        <w:rPr>
          <w:rFonts w:asciiTheme="minorHAnsi" w:hAnsiTheme="minorHAnsi" w:cstheme="minorHAnsi"/>
          <w:b w:val="0"/>
          <w:sz w:val="20"/>
          <w:szCs w:val="20"/>
          <w:lang w:val="de-DE"/>
        </w:rPr>
        <w:t>[E-Mail]</w:t>
      </w:r>
    </w:p>
    <w:p w14:paraId="2038F669" w14:textId="77777777" w:rsidR="00D43889" w:rsidRPr="00B2726B" w:rsidRDefault="00D43889" w:rsidP="007E0F85">
      <w:pPr>
        <w:pStyle w:val="BodyText2"/>
        <w:spacing w:line="360" w:lineRule="auto"/>
        <w:rPr>
          <w:rFonts w:asciiTheme="minorHAnsi" w:hAnsiTheme="minorHAnsi" w:cstheme="minorBidi"/>
          <w:b w:val="0"/>
          <w:bCs w:val="0"/>
          <w:sz w:val="28"/>
          <w:szCs w:val="28"/>
          <w:lang w:val="de-DE"/>
        </w:rPr>
      </w:pPr>
    </w:p>
    <w:p w14:paraId="5D0F26FE" w14:textId="77777777" w:rsidR="00B2726B" w:rsidRPr="00B2726B" w:rsidRDefault="00B2726B" w:rsidP="00B2726B">
      <w:pPr>
        <w:pStyle w:val="BodyText2"/>
        <w:spacing w:line="360" w:lineRule="auto"/>
        <w:rPr>
          <w:rFonts w:asciiTheme="minorHAnsi" w:hAnsiTheme="minorHAnsi" w:cstheme="minorBidi"/>
          <w:b w:val="0"/>
          <w:bCs w:val="0"/>
          <w:sz w:val="24"/>
          <w:szCs w:val="24"/>
          <w:lang w:val="de-DE"/>
        </w:rPr>
      </w:pPr>
      <w:r w:rsidRPr="00B2726B">
        <w:rPr>
          <w:rFonts w:asciiTheme="minorHAnsi" w:hAnsiTheme="minorHAnsi" w:cstheme="minorBidi"/>
          <w:b w:val="0"/>
          <w:bCs w:val="0"/>
          <w:sz w:val="24"/>
          <w:szCs w:val="24"/>
          <w:lang w:val="de-DE"/>
        </w:rPr>
        <w:t>Nick Meier, koordinierender Studienarzt</w:t>
      </w:r>
    </w:p>
    <w:p w14:paraId="2957B7D1" w14:textId="77777777" w:rsidR="00B2726B" w:rsidRPr="00B2726B" w:rsidRDefault="00B2726B" w:rsidP="00B2726B">
      <w:pPr>
        <w:pStyle w:val="BodyText2"/>
        <w:spacing w:line="360" w:lineRule="auto"/>
        <w:rPr>
          <w:rFonts w:asciiTheme="minorHAnsi" w:hAnsiTheme="minorHAnsi" w:cstheme="minorBidi"/>
          <w:b w:val="0"/>
          <w:bCs w:val="0"/>
          <w:sz w:val="24"/>
          <w:szCs w:val="24"/>
          <w:lang w:val="de-DE"/>
        </w:rPr>
      </w:pPr>
      <w:r w:rsidRPr="00B2726B">
        <w:rPr>
          <w:rFonts w:asciiTheme="minorHAnsi" w:hAnsiTheme="minorHAnsi" w:cstheme="minorBidi"/>
          <w:b w:val="0"/>
          <w:bCs w:val="0"/>
          <w:sz w:val="24"/>
          <w:szCs w:val="24"/>
          <w:lang w:val="de-DE"/>
        </w:rPr>
        <w:t>Arzt, PhD-Student</w:t>
      </w:r>
    </w:p>
    <w:p w14:paraId="253382BA" w14:textId="77777777" w:rsidR="00B2726B" w:rsidRPr="00B2726B" w:rsidRDefault="00B2726B" w:rsidP="00B2726B">
      <w:pPr>
        <w:pStyle w:val="BodyText2"/>
        <w:spacing w:line="360" w:lineRule="auto"/>
        <w:rPr>
          <w:rFonts w:asciiTheme="minorHAnsi" w:hAnsiTheme="minorHAnsi" w:cstheme="minorBidi"/>
          <w:b w:val="0"/>
          <w:bCs w:val="0"/>
          <w:sz w:val="24"/>
          <w:szCs w:val="24"/>
          <w:lang w:val="de-DE"/>
        </w:rPr>
      </w:pPr>
      <w:r w:rsidRPr="00B2726B">
        <w:rPr>
          <w:rFonts w:asciiTheme="minorHAnsi" w:hAnsiTheme="minorHAnsi" w:cstheme="minorBidi"/>
          <w:b w:val="0"/>
          <w:bCs w:val="0"/>
          <w:sz w:val="24"/>
          <w:szCs w:val="24"/>
          <w:lang w:val="de-DE"/>
        </w:rPr>
        <w:t>Abteilung für Intensivmedizin 4131, Rigshospitalet</w:t>
      </w:r>
    </w:p>
    <w:p w14:paraId="442ADD15" w14:textId="77777777" w:rsidR="00B2726B" w:rsidRPr="00B2726B" w:rsidRDefault="00B2726B" w:rsidP="00B2726B">
      <w:pPr>
        <w:pStyle w:val="BodyText2"/>
        <w:spacing w:line="360" w:lineRule="auto"/>
        <w:rPr>
          <w:rFonts w:asciiTheme="minorHAnsi" w:hAnsiTheme="minorHAnsi" w:cstheme="minorBidi"/>
          <w:b w:val="0"/>
          <w:bCs w:val="0"/>
          <w:sz w:val="24"/>
          <w:szCs w:val="24"/>
          <w:lang w:val="de-DE"/>
        </w:rPr>
      </w:pPr>
      <w:r w:rsidRPr="00B2726B">
        <w:rPr>
          <w:rFonts w:asciiTheme="minorHAnsi" w:hAnsiTheme="minorHAnsi" w:cstheme="minorBidi"/>
          <w:b w:val="0"/>
          <w:bCs w:val="0"/>
          <w:sz w:val="24"/>
          <w:szCs w:val="24"/>
          <w:lang w:val="de-DE"/>
        </w:rPr>
        <w:t>Blegdamsvej 9, 2100 Kopenhagen Ø</w:t>
      </w:r>
    </w:p>
    <w:p w14:paraId="3CB942CC" w14:textId="3B703B5B" w:rsidR="00DC49EB" w:rsidRPr="00B2726B" w:rsidRDefault="00B2726B" w:rsidP="00B2726B">
      <w:pPr>
        <w:pStyle w:val="BodyText2"/>
        <w:spacing w:line="360" w:lineRule="auto"/>
        <w:rPr>
          <w:rFonts w:asciiTheme="minorHAnsi" w:hAnsiTheme="minorHAnsi" w:cstheme="minorHAnsi"/>
          <w:b w:val="0"/>
          <w:sz w:val="24"/>
          <w:szCs w:val="24"/>
          <w:lang w:val="de-DE"/>
        </w:rPr>
      </w:pPr>
      <w:r w:rsidRPr="00B2726B">
        <w:rPr>
          <w:rFonts w:asciiTheme="minorHAnsi" w:hAnsiTheme="minorHAnsi" w:cstheme="minorBidi"/>
          <w:b w:val="0"/>
          <w:bCs w:val="0"/>
          <w:sz w:val="24"/>
          <w:szCs w:val="24"/>
          <w:lang w:val="de-DE"/>
        </w:rPr>
        <w:t>E-Mail: nick.meier@regionh.dk</w:t>
      </w:r>
      <w:r w:rsidR="00E2520A" w:rsidRPr="00B2726B">
        <w:rPr>
          <w:rFonts w:asciiTheme="minorHAnsi" w:hAnsiTheme="minorHAnsi" w:cstheme="minorHAnsi"/>
          <w:b w:val="0"/>
          <w:sz w:val="24"/>
          <w:szCs w:val="24"/>
          <w:lang w:val="de-DE"/>
        </w:rPr>
        <w:br/>
      </w:r>
    </w:p>
    <w:p w14:paraId="20CD5CC7"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29901217"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78D90506"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17947CE3"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7EE8FAF4"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7F6B31AE"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216B8831"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784AC026"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p w14:paraId="51E37C82" w14:textId="77777777" w:rsidR="009A37B2" w:rsidRPr="00B2726B" w:rsidRDefault="009A37B2" w:rsidP="007E0F85">
      <w:pPr>
        <w:pStyle w:val="BodyText2"/>
        <w:spacing w:line="360" w:lineRule="auto"/>
        <w:rPr>
          <w:rFonts w:asciiTheme="minorHAnsi" w:hAnsiTheme="minorHAnsi" w:cstheme="minorHAnsi"/>
          <w:b w:val="0"/>
          <w:sz w:val="24"/>
          <w:szCs w:val="24"/>
          <w:lang w:val="de-DE"/>
        </w:rPr>
      </w:pPr>
    </w:p>
    <w:bookmarkEnd w:id="3"/>
    <w:p w14:paraId="23CA0DF1" w14:textId="77777777" w:rsidR="00B2726B" w:rsidRPr="00B2726B" w:rsidRDefault="00B2726B" w:rsidP="00B2726B">
      <w:pPr>
        <w:pStyle w:val="BodyText2"/>
        <w:spacing w:line="360" w:lineRule="auto"/>
        <w:rPr>
          <w:rFonts w:asciiTheme="minorHAnsi" w:hAnsiTheme="minorHAnsi" w:cstheme="minorHAnsi"/>
          <w:b w:val="0"/>
          <w:sz w:val="24"/>
          <w:szCs w:val="24"/>
          <w:lang w:val="de-DE"/>
        </w:rPr>
      </w:pPr>
      <w:r w:rsidRPr="00B2726B">
        <w:rPr>
          <w:rFonts w:asciiTheme="minorHAnsi" w:hAnsiTheme="minorHAnsi" w:cstheme="minorHAnsi"/>
          <w:b w:val="0"/>
          <w:sz w:val="24"/>
          <w:szCs w:val="24"/>
          <w:lang w:val="de-DE"/>
        </w:rPr>
        <w:t>Prof. Dr. Morten Hylander Møller, Sponsor</w:t>
      </w:r>
    </w:p>
    <w:p w14:paraId="1985A7A0" w14:textId="77777777" w:rsidR="00B2726B" w:rsidRPr="00B2726B" w:rsidRDefault="00B2726B" w:rsidP="00B2726B">
      <w:pPr>
        <w:pStyle w:val="BodyText2"/>
        <w:spacing w:line="360" w:lineRule="auto"/>
        <w:rPr>
          <w:rFonts w:asciiTheme="minorHAnsi" w:hAnsiTheme="minorHAnsi" w:cstheme="minorHAnsi"/>
          <w:b w:val="0"/>
          <w:sz w:val="24"/>
          <w:szCs w:val="24"/>
          <w:lang w:val="de-DE"/>
        </w:rPr>
      </w:pPr>
      <w:r w:rsidRPr="00B2726B">
        <w:rPr>
          <w:rFonts w:asciiTheme="minorHAnsi" w:hAnsiTheme="minorHAnsi" w:cstheme="minorHAnsi"/>
          <w:b w:val="0"/>
          <w:sz w:val="24"/>
          <w:szCs w:val="24"/>
          <w:lang w:val="de-DE"/>
        </w:rPr>
        <w:t>Chefarzt, Professor</w:t>
      </w:r>
    </w:p>
    <w:p w14:paraId="377C6D22" w14:textId="77777777" w:rsidR="00B2726B" w:rsidRPr="00B2726B" w:rsidRDefault="00B2726B" w:rsidP="00B2726B">
      <w:pPr>
        <w:pStyle w:val="BodyText2"/>
        <w:spacing w:line="360" w:lineRule="auto"/>
        <w:rPr>
          <w:rFonts w:asciiTheme="minorHAnsi" w:hAnsiTheme="minorHAnsi" w:cstheme="minorHAnsi"/>
          <w:b w:val="0"/>
          <w:sz w:val="24"/>
          <w:szCs w:val="24"/>
          <w:lang w:val="de-DE"/>
        </w:rPr>
      </w:pPr>
      <w:r w:rsidRPr="00B2726B">
        <w:rPr>
          <w:rFonts w:asciiTheme="minorHAnsi" w:hAnsiTheme="minorHAnsi" w:cstheme="minorHAnsi"/>
          <w:b w:val="0"/>
          <w:sz w:val="24"/>
          <w:szCs w:val="24"/>
          <w:lang w:val="de-DE"/>
        </w:rPr>
        <w:t>Abteilung für Intensivmedizin 4131, Rigshospitalet</w:t>
      </w:r>
    </w:p>
    <w:p w14:paraId="3B737A2F" w14:textId="77777777" w:rsidR="00B2726B" w:rsidRPr="00B2726B" w:rsidRDefault="00B2726B" w:rsidP="00B2726B">
      <w:pPr>
        <w:pStyle w:val="BodyText2"/>
        <w:spacing w:line="360" w:lineRule="auto"/>
        <w:rPr>
          <w:rFonts w:asciiTheme="minorHAnsi" w:hAnsiTheme="minorHAnsi" w:cstheme="minorHAnsi"/>
          <w:b w:val="0"/>
          <w:sz w:val="24"/>
          <w:szCs w:val="24"/>
          <w:lang w:val="de-DE"/>
        </w:rPr>
      </w:pPr>
      <w:r w:rsidRPr="00B2726B">
        <w:rPr>
          <w:rFonts w:asciiTheme="minorHAnsi" w:hAnsiTheme="minorHAnsi" w:cstheme="minorHAnsi"/>
          <w:b w:val="0"/>
          <w:sz w:val="24"/>
          <w:szCs w:val="24"/>
          <w:lang w:val="de-DE"/>
        </w:rPr>
        <w:t>Blegdamsvej 9, 2100 Kopenhagen Ø</w:t>
      </w:r>
    </w:p>
    <w:p w14:paraId="0BA3B0E8" w14:textId="582325D4" w:rsidR="006149D7" w:rsidRPr="00B2726B" w:rsidRDefault="00B2726B" w:rsidP="00B2726B">
      <w:pPr>
        <w:pStyle w:val="BodyText2"/>
        <w:spacing w:line="360" w:lineRule="auto"/>
        <w:rPr>
          <w:rFonts w:asciiTheme="minorHAnsi" w:hAnsiTheme="minorHAnsi" w:cstheme="minorBidi"/>
          <w:b w:val="0"/>
          <w:bCs w:val="0"/>
          <w:sz w:val="20"/>
          <w:szCs w:val="20"/>
          <w:lang w:val="de-DE"/>
        </w:rPr>
      </w:pPr>
      <w:r w:rsidRPr="00B2726B">
        <w:rPr>
          <w:rFonts w:asciiTheme="minorHAnsi" w:hAnsiTheme="minorHAnsi" w:cstheme="minorHAnsi"/>
          <w:b w:val="0"/>
          <w:sz w:val="24"/>
          <w:szCs w:val="24"/>
          <w:lang w:val="de-DE"/>
        </w:rPr>
        <w:t>E-Mail: morten.hylander.moeller@regionh.dk</w:t>
      </w:r>
    </w:p>
    <w:p w14:paraId="10916AE9" w14:textId="78FE2A24" w:rsidR="00F73E7B" w:rsidRPr="00B2726B" w:rsidRDefault="00F73E7B" w:rsidP="007E0F85">
      <w:pPr>
        <w:pStyle w:val="BodyText2"/>
        <w:spacing w:line="360" w:lineRule="auto"/>
        <w:rPr>
          <w:rFonts w:asciiTheme="minorHAnsi" w:hAnsiTheme="minorHAnsi" w:cstheme="minorHAnsi"/>
          <w:b w:val="0"/>
          <w:sz w:val="20"/>
          <w:szCs w:val="20"/>
          <w:lang w:val="de-DE"/>
        </w:rPr>
      </w:pPr>
    </w:p>
    <w:p w14:paraId="6C2A5741" w14:textId="7DDA80AC" w:rsidR="00BC232C" w:rsidRPr="00B2726B" w:rsidRDefault="00BC232C" w:rsidP="007E0F85">
      <w:pPr>
        <w:pStyle w:val="BodyText2"/>
        <w:spacing w:line="360" w:lineRule="auto"/>
        <w:rPr>
          <w:rFonts w:asciiTheme="minorHAnsi" w:hAnsiTheme="minorHAnsi" w:cstheme="minorHAnsi"/>
          <w:b w:val="0"/>
          <w:sz w:val="20"/>
          <w:szCs w:val="20"/>
          <w:lang w:val="de-DE"/>
        </w:rPr>
        <w:sectPr w:rsidR="00BC232C" w:rsidRPr="00B2726B" w:rsidSect="00234C26">
          <w:type w:val="continuous"/>
          <w:pgSz w:w="11906" w:h="16838"/>
          <w:pgMar w:top="1701" w:right="1134" w:bottom="1701" w:left="1134" w:header="708" w:footer="708" w:gutter="0"/>
          <w:cols w:num="2" w:space="708"/>
          <w:docGrid w:linePitch="360"/>
        </w:sectPr>
      </w:pPr>
    </w:p>
    <w:p w14:paraId="56138024" w14:textId="4A885E8D" w:rsidR="00AF07F1" w:rsidRPr="00B2726B" w:rsidRDefault="00AF07F1" w:rsidP="007E0F85">
      <w:pPr>
        <w:spacing w:line="360" w:lineRule="auto"/>
        <w:rPr>
          <w:rFonts w:asciiTheme="minorHAnsi" w:hAnsiTheme="minorHAnsi" w:cstheme="minorHAnsi"/>
          <w:sz w:val="22"/>
          <w:szCs w:val="22"/>
          <w:lang w:val="de-DE"/>
        </w:rPr>
      </w:pPr>
    </w:p>
    <w:sectPr w:rsidR="00AF07F1" w:rsidRPr="00B2726B" w:rsidSect="00234C26">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D4E7" w14:textId="77777777" w:rsidR="00BF4B6D" w:rsidRDefault="00BF4B6D" w:rsidP="00AF07F1">
      <w:r>
        <w:separator/>
      </w:r>
    </w:p>
  </w:endnote>
  <w:endnote w:type="continuationSeparator" w:id="0">
    <w:p w14:paraId="7521A0A7" w14:textId="77777777" w:rsidR="00BF4B6D" w:rsidRDefault="00BF4B6D" w:rsidP="00AF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128C" w14:textId="77777777" w:rsidR="00D71A75" w:rsidRDefault="00D71A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03" w14:textId="77777777" w:rsidR="00FB736C" w:rsidRPr="00AF07F1" w:rsidRDefault="00FB736C" w:rsidP="00FB736C">
    <w:pPr>
      <w:pStyle w:val="Default"/>
    </w:pPr>
  </w:p>
  <w:p w14:paraId="35545363" w14:textId="2466EA24" w:rsidR="00FD0C60" w:rsidRPr="00B61C16" w:rsidRDefault="00B61C16" w:rsidP="00FD0C60">
    <w:pPr>
      <w:pStyle w:val="Footer"/>
      <w:jc w:val="center"/>
      <w:rPr>
        <w:rFonts w:ascii="Aptos" w:hAnsi="Aptos"/>
        <w:sz w:val="18"/>
        <w:szCs w:val="18"/>
      </w:rPr>
    </w:pPr>
    <w:r w:rsidRPr="00B61C16">
      <w:rPr>
        <w:rFonts w:ascii="Aptos" w:hAnsi="Aptos"/>
        <w:b/>
        <w:bCs/>
        <w:sz w:val="18"/>
        <w:szCs w:val="18"/>
      </w:rPr>
      <w:t>Translated</w:t>
    </w:r>
    <w:r w:rsidR="00FD0C60" w:rsidRPr="00B61C16">
      <w:rPr>
        <w:rFonts w:ascii="Aptos" w:hAnsi="Aptos"/>
        <w:b/>
        <w:bCs/>
        <w:sz w:val="18"/>
        <w:szCs w:val="18"/>
      </w:rPr>
      <w:t>:</w:t>
    </w:r>
    <w:r w:rsidR="00FD0C60" w:rsidRPr="00B61C16">
      <w:rPr>
        <w:rFonts w:ascii="Aptos" w:hAnsi="Aptos"/>
        <w:sz w:val="18"/>
        <w:szCs w:val="18"/>
      </w:rPr>
      <w:t xml:space="preserve"> EMPRESS, </w:t>
    </w:r>
    <w:r w:rsidRPr="00B61C16">
      <w:rPr>
        <w:rFonts w:ascii="Aptos" w:hAnsi="Aptos"/>
        <w:sz w:val="18"/>
        <w:szCs w:val="18"/>
      </w:rPr>
      <w:t>I</w:t>
    </w:r>
    <w:r w:rsidR="00FD0C60" w:rsidRPr="00B61C16">
      <w:rPr>
        <w:rFonts w:ascii="Aptos" w:hAnsi="Aptos"/>
        <w:sz w:val="18"/>
        <w:szCs w:val="18"/>
      </w:rPr>
      <w:t>nformation</w:t>
    </w:r>
    <w:r w:rsidRPr="00B61C16">
      <w:rPr>
        <w:rFonts w:ascii="Aptos" w:hAnsi="Aptos"/>
        <w:sz w:val="18"/>
        <w:szCs w:val="18"/>
      </w:rPr>
      <w:t xml:space="preserve"> sh</w:t>
    </w:r>
    <w:r>
      <w:rPr>
        <w:rFonts w:ascii="Aptos" w:hAnsi="Aptos"/>
        <w:sz w:val="18"/>
        <w:szCs w:val="18"/>
      </w:rPr>
      <w:t xml:space="preserve">eet - </w:t>
    </w:r>
    <w:r w:rsidR="00AF5B61">
      <w:rPr>
        <w:rFonts w:ascii="Aptos" w:hAnsi="Aptos"/>
        <w:sz w:val="18"/>
        <w:szCs w:val="18"/>
      </w:rPr>
      <w:t>Subject</w:t>
    </w:r>
    <w:r w:rsidR="00FD0C60" w:rsidRPr="00B61C16">
      <w:rPr>
        <w:rFonts w:ascii="Aptos" w:hAnsi="Aptos"/>
        <w:sz w:val="18"/>
        <w:szCs w:val="18"/>
      </w:rPr>
      <w:t>, Version 2.1, 25.09.2025</w:t>
    </w:r>
  </w:p>
  <w:p w14:paraId="7F0FBC80" w14:textId="33AC10A5" w:rsidR="00FD0C60" w:rsidRPr="00FD0C60" w:rsidRDefault="00B61C16" w:rsidP="00FD0C60">
    <w:pPr>
      <w:pStyle w:val="Footer"/>
      <w:jc w:val="center"/>
      <w:rPr>
        <w:rFonts w:ascii="Aptos" w:hAnsi="Aptos"/>
        <w:sz w:val="18"/>
        <w:szCs w:val="18"/>
        <w:lang w:val="da-DK"/>
      </w:rPr>
    </w:pPr>
    <w:r>
      <w:rPr>
        <w:rFonts w:ascii="Aptos" w:hAnsi="Aptos"/>
        <w:b/>
        <w:bCs/>
        <w:sz w:val="18"/>
        <w:szCs w:val="18"/>
        <w:lang w:val="da-DK"/>
      </w:rPr>
      <w:t>Language</w:t>
    </w:r>
    <w:r w:rsidR="00FD0C60" w:rsidRPr="00FD0C60">
      <w:rPr>
        <w:rFonts w:ascii="Aptos" w:hAnsi="Aptos"/>
        <w:b/>
        <w:bCs/>
        <w:sz w:val="18"/>
        <w:szCs w:val="18"/>
        <w:lang w:val="da-DK"/>
      </w:rPr>
      <w:t>:</w:t>
    </w:r>
    <w:r w:rsidR="00FD0C60" w:rsidRPr="00FD0C60">
      <w:rPr>
        <w:rFonts w:ascii="Aptos" w:hAnsi="Aptos"/>
        <w:sz w:val="18"/>
        <w:szCs w:val="18"/>
        <w:lang w:val="da-DK"/>
      </w:rPr>
      <w:t xml:space="preserve"> </w:t>
    </w:r>
    <w:r>
      <w:rPr>
        <w:rFonts w:ascii="Aptos" w:hAnsi="Aptos"/>
        <w:sz w:val="18"/>
        <w:szCs w:val="18"/>
        <w:lang w:val="da-DK"/>
      </w:rPr>
      <w:t>German</w:t>
    </w:r>
  </w:p>
  <w:p w14:paraId="3013C255" w14:textId="54BB6D13" w:rsidR="00087562" w:rsidRPr="002255B6" w:rsidRDefault="00087562" w:rsidP="00FD0C60">
    <w:pPr>
      <w:pStyle w:val="Header"/>
      <w:jc w:val="right"/>
      <w:rPr>
        <w:rFonts w:asciiTheme="minorHAnsi" w:hAnsiTheme="minorHAnsi" w:cstheme="minorHAnsi"/>
        <w:sz w:val="18"/>
        <w:szCs w:val="18"/>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AF88" w14:textId="77777777" w:rsidR="00D71A75" w:rsidRDefault="00D71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A2315" w14:textId="77777777" w:rsidR="00BF4B6D" w:rsidRDefault="00BF4B6D" w:rsidP="00AF07F1">
      <w:r>
        <w:separator/>
      </w:r>
    </w:p>
  </w:footnote>
  <w:footnote w:type="continuationSeparator" w:id="0">
    <w:p w14:paraId="6EED3A02" w14:textId="77777777" w:rsidR="00BF4B6D" w:rsidRDefault="00BF4B6D" w:rsidP="00AF0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066E" w14:textId="77777777" w:rsidR="00D71A75" w:rsidRDefault="00D71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280493653" name="Billede 128049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4926" w14:textId="77777777" w:rsidR="00D71A75" w:rsidRDefault="00D71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E3027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D364850"/>
    <w:multiLevelType w:val="hybridMultilevel"/>
    <w:tmpl w:val="7690E4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8D67641"/>
    <w:multiLevelType w:val="hybridMultilevel"/>
    <w:tmpl w:val="CCB25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FB57064"/>
    <w:multiLevelType w:val="hybridMultilevel"/>
    <w:tmpl w:val="FB72C9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3AD3418"/>
    <w:multiLevelType w:val="hybridMultilevel"/>
    <w:tmpl w:val="70B439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2"/>
  </w:num>
  <w:num w:numId="2" w16cid:durableId="2027363915">
    <w:abstractNumId w:val="5"/>
  </w:num>
  <w:num w:numId="3" w16cid:durableId="324016391">
    <w:abstractNumId w:val="2"/>
  </w:num>
  <w:num w:numId="4" w16cid:durableId="592981955">
    <w:abstractNumId w:val="10"/>
  </w:num>
  <w:num w:numId="5" w16cid:durableId="2122915461">
    <w:abstractNumId w:val="1"/>
  </w:num>
  <w:num w:numId="6" w16cid:durableId="762149387">
    <w:abstractNumId w:val="0"/>
  </w:num>
  <w:num w:numId="7" w16cid:durableId="1657760343">
    <w:abstractNumId w:val="3"/>
  </w:num>
  <w:num w:numId="8" w16cid:durableId="1801068222">
    <w:abstractNumId w:val="4"/>
  </w:num>
  <w:num w:numId="9" w16cid:durableId="534737653">
    <w:abstractNumId w:val="11"/>
  </w:num>
  <w:num w:numId="10" w16cid:durableId="2115905700">
    <w:abstractNumId w:val="7"/>
  </w:num>
  <w:num w:numId="11" w16cid:durableId="1878081397">
    <w:abstractNumId w:val="6"/>
  </w:num>
  <w:num w:numId="12" w16cid:durableId="899289788">
    <w:abstractNumId w:val="9"/>
  </w:num>
  <w:num w:numId="13" w16cid:durableId="19789543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07A93"/>
    <w:rsid w:val="00012FBB"/>
    <w:rsid w:val="00022A85"/>
    <w:rsid w:val="00032912"/>
    <w:rsid w:val="00042D77"/>
    <w:rsid w:val="0004783F"/>
    <w:rsid w:val="00047882"/>
    <w:rsid w:val="0006591B"/>
    <w:rsid w:val="000813E3"/>
    <w:rsid w:val="00087562"/>
    <w:rsid w:val="0009071B"/>
    <w:rsid w:val="00091B48"/>
    <w:rsid w:val="00093806"/>
    <w:rsid w:val="00096EEB"/>
    <w:rsid w:val="000A078B"/>
    <w:rsid w:val="000E4033"/>
    <w:rsid w:val="000F2819"/>
    <w:rsid w:val="00101EA7"/>
    <w:rsid w:val="00124F4C"/>
    <w:rsid w:val="00125500"/>
    <w:rsid w:val="0015260A"/>
    <w:rsid w:val="001527FF"/>
    <w:rsid w:val="00161625"/>
    <w:rsid w:val="00162161"/>
    <w:rsid w:val="00162BFC"/>
    <w:rsid w:val="00164804"/>
    <w:rsid w:val="00174F90"/>
    <w:rsid w:val="00180F81"/>
    <w:rsid w:val="00185A33"/>
    <w:rsid w:val="001933F8"/>
    <w:rsid w:val="001964DC"/>
    <w:rsid w:val="001A0009"/>
    <w:rsid w:val="001B40A8"/>
    <w:rsid w:val="001C18B7"/>
    <w:rsid w:val="001C24BB"/>
    <w:rsid w:val="001C4D88"/>
    <w:rsid w:val="001D06E3"/>
    <w:rsid w:val="001D1867"/>
    <w:rsid w:val="001D2DDF"/>
    <w:rsid w:val="001F2818"/>
    <w:rsid w:val="00202CEA"/>
    <w:rsid w:val="0020474D"/>
    <w:rsid w:val="00207013"/>
    <w:rsid w:val="00214BD2"/>
    <w:rsid w:val="002241FF"/>
    <w:rsid w:val="002255B6"/>
    <w:rsid w:val="00233A93"/>
    <w:rsid w:val="00234C26"/>
    <w:rsid w:val="00241944"/>
    <w:rsid w:val="00243B55"/>
    <w:rsid w:val="002469A9"/>
    <w:rsid w:val="002500BB"/>
    <w:rsid w:val="002501BC"/>
    <w:rsid w:val="002633BD"/>
    <w:rsid w:val="00274609"/>
    <w:rsid w:val="00281F82"/>
    <w:rsid w:val="00295277"/>
    <w:rsid w:val="00295CEA"/>
    <w:rsid w:val="002A1B4A"/>
    <w:rsid w:val="002A274E"/>
    <w:rsid w:val="002A38BA"/>
    <w:rsid w:val="002A7414"/>
    <w:rsid w:val="002B12DD"/>
    <w:rsid w:val="002B1CAA"/>
    <w:rsid w:val="002C2B1A"/>
    <w:rsid w:val="002C3EF5"/>
    <w:rsid w:val="002C5991"/>
    <w:rsid w:val="002E279D"/>
    <w:rsid w:val="002E6B52"/>
    <w:rsid w:val="002F5604"/>
    <w:rsid w:val="00301116"/>
    <w:rsid w:val="00306D77"/>
    <w:rsid w:val="0031574F"/>
    <w:rsid w:val="0031751F"/>
    <w:rsid w:val="00331F72"/>
    <w:rsid w:val="00351040"/>
    <w:rsid w:val="00371435"/>
    <w:rsid w:val="003760C9"/>
    <w:rsid w:val="003844C9"/>
    <w:rsid w:val="00392669"/>
    <w:rsid w:val="003A0D7B"/>
    <w:rsid w:val="003A0DB9"/>
    <w:rsid w:val="003A268C"/>
    <w:rsid w:val="003C7D1D"/>
    <w:rsid w:val="003D3F58"/>
    <w:rsid w:val="003E024C"/>
    <w:rsid w:val="003F5C42"/>
    <w:rsid w:val="00407EA3"/>
    <w:rsid w:val="00417C07"/>
    <w:rsid w:val="00422ED8"/>
    <w:rsid w:val="00426886"/>
    <w:rsid w:val="00457D0C"/>
    <w:rsid w:val="00461EF7"/>
    <w:rsid w:val="004710CF"/>
    <w:rsid w:val="004769C4"/>
    <w:rsid w:val="004A3DB1"/>
    <w:rsid w:val="004B51BD"/>
    <w:rsid w:val="004C3804"/>
    <w:rsid w:val="004C44BC"/>
    <w:rsid w:val="004D046F"/>
    <w:rsid w:val="004D64EC"/>
    <w:rsid w:val="004E25C4"/>
    <w:rsid w:val="004E6BBB"/>
    <w:rsid w:val="004F2F28"/>
    <w:rsid w:val="00500A5F"/>
    <w:rsid w:val="00524573"/>
    <w:rsid w:val="005270F6"/>
    <w:rsid w:val="005459ED"/>
    <w:rsid w:val="005473D7"/>
    <w:rsid w:val="00567CD1"/>
    <w:rsid w:val="00571DA7"/>
    <w:rsid w:val="005737A5"/>
    <w:rsid w:val="00576BC3"/>
    <w:rsid w:val="00577B8C"/>
    <w:rsid w:val="00581933"/>
    <w:rsid w:val="00582BF2"/>
    <w:rsid w:val="00587AAF"/>
    <w:rsid w:val="0059043F"/>
    <w:rsid w:val="00590CF7"/>
    <w:rsid w:val="00591B06"/>
    <w:rsid w:val="00597983"/>
    <w:rsid w:val="005A165B"/>
    <w:rsid w:val="005B7036"/>
    <w:rsid w:val="005E16F2"/>
    <w:rsid w:val="005F6472"/>
    <w:rsid w:val="005F793C"/>
    <w:rsid w:val="006149D7"/>
    <w:rsid w:val="006167E3"/>
    <w:rsid w:val="00620183"/>
    <w:rsid w:val="006256CC"/>
    <w:rsid w:val="00626351"/>
    <w:rsid w:val="00626A83"/>
    <w:rsid w:val="00634619"/>
    <w:rsid w:val="00643C29"/>
    <w:rsid w:val="006579D7"/>
    <w:rsid w:val="00671391"/>
    <w:rsid w:val="006818CD"/>
    <w:rsid w:val="00683650"/>
    <w:rsid w:val="00691A26"/>
    <w:rsid w:val="006B785C"/>
    <w:rsid w:val="006C4184"/>
    <w:rsid w:val="006D415F"/>
    <w:rsid w:val="006E1988"/>
    <w:rsid w:val="006E36D0"/>
    <w:rsid w:val="006E736E"/>
    <w:rsid w:val="006F0552"/>
    <w:rsid w:val="00701C19"/>
    <w:rsid w:val="0070305A"/>
    <w:rsid w:val="0070539E"/>
    <w:rsid w:val="007124E3"/>
    <w:rsid w:val="007226F4"/>
    <w:rsid w:val="00734EC0"/>
    <w:rsid w:val="0074162C"/>
    <w:rsid w:val="00763C1D"/>
    <w:rsid w:val="007647C7"/>
    <w:rsid w:val="00771CF8"/>
    <w:rsid w:val="00776756"/>
    <w:rsid w:val="00784060"/>
    <w:rsid w:val="007A190D"/>
    <w:rsid w:val="007A2FF4"/>
    <w:rsid w:val="007B45FE"/>
    <w:rsid w:val="007D2A48"/>
    <w:rsid w:val="007E0A77"/>
    <w:rsid w:val="007E0F85"/>
    <w:rsid w:val="007E3297"/>
    <w:rsid w:val="007E7B25"/>
    <w:rsid w:val="007F2420"/>
    <w:rsid w:val="00816053"/>
    <w:rsid w:val="00826C0B"/>
    <w:rsid w:val="00826E02"/>
    <w:rsid w:val="00831358"/>
    <w:rsid w:val="00834CAE"/>
    <w:rsid w:val="0084083F"/>
    <w:rsid w:val="00843A4D"/>
    <w:rsid w:val="00855C5B"/>
    <w:rsid w:val="00876E26"/>
    <w:rsid w:val="0088016F"/>
    <w:rsid w:val="00883CE9"/>
    <w:rsid w:val="008919EE"/>
    <w:rsid w:val="008B2D3E"/>
    <w:rsid w:val="008C3D8A"/>
    <w:rsid w:val="008D10E7"/>
    <w:rsid w:val="008E2E7E"/>
    <w:rsid w:val="008F077B"/>
    <w:rsid w:val="008F550C"/>
    <w:rsid w:val="008F5D4B"/>
    <w:rsid w:val="00903930"/>
    <w:rsid w:val="00911B62"/>
    <w:rsid w:val="00920301"/>
    <w:rsid w:val="00923B01"/>
    <w:rsid w:val="00923EE8"/>
    <w:rsid w:val="00930F38"/>
    <w:rsid w:val="00931AFF"/>
    <w:rsid w:val="00933522"/>
    <w:rsid w:val="00935C4F"/>
    <w:rsid w:val="00936F93"/>
    <w:rsid w:val="00946DAB"/>
    <w:rsid w:val="00957E78"/>
    <w:rsid w:val="00957ED9"/>
    <w:rsid w:val="0097348C"/>
    <w:rsid w:val="00993BDD"/>
    <w:rsid w:val="00995B21"/>
    <w:rsid w:val="009A37B2"/>
    <w:rsid w:val="009B122B"/>
    <w:rsid w:val="009B519F"/>
    <w:rsid w:val="009B528B"/>
    <w:rsid w:val="009C0337"/>
    <w:rsid w:val="009C2381"/>
    <w:rsid w:val="009E610F"/>
    <w:rsid w:val="009F3AC2"/>
    <w:rsid w:val="00A0676D"/>
    <w:rsid w:val="00A1499D"/>
    <w:rsid w:val="00A26FEA"/>
    <w:rsid w:val="00A346A8"/>
    <w:rsid w:val="00A37855"/>
    <w:rsid w:val="00A52201"/>
    <w:rsid w:val="00A52FC2"/>
    <w:rsid w:val="00A55039"/>
    <w:rsid w:val="00A630B3"/>
    <w:rsid w:val="00A64884"/>
    <w:rsid w:val="00A757CD"/>
    <w:rsid w:val="00A75A5B"/>
    <w:rsid w:val="00A75EAB"/>
    <w:rsid w:val="00A910EE"/>
    <w:rsid w:val="00AA0C2F"/>
    <w:rsid w:val="00AC00F4"/>
    <w:rsid w:val="00AC09F4"/>
    <w:rsid w:val="00AC5400"/>
    <w:rsid w:val="00AF07F1"/>
    <w:rsid w:val="00AF5B61"/>
    <w:rsid w:val="00B07C83"/>
    <w:rsid w:val="00B1033A"/>
    <w:rsid w:val="00B2726B"/>
    <w:rsid w:val="00B274E1"/>
    <w:rsid w:val="00B312E4"/>
    <w:rsid w:val="00B421FE"/>
    <w:rsid w:val="00B45CB9"/>
    <w:rsid w:val="00B51E09"/>
    <w:rsid w:val="00B529C0"/>
    <w:rsid w:val="00B5529E"/>
    <w:rsid w:val="00B61C16"/>
    <w:rsid w:val="00B62445"/>
    <w:rsid w:val="00B65130"/>
    <w:rsid w:val="00B74C50"/>
    <w:rsid w:val="00B87DCC"/>
    <w:rsid w:val="00B9047C"/>
    <w:rsid w:val="00B953D2"/>
    <w:rsid w:val="00BA138A"/>
    <w:rsid w:val="00BA61AB"/>
    <w:rsid w:val="00BB4FA3"/>
    <w:rsid w:val="00BC232C"/>
    <w:rsid w:val="00BC6479"/>
    <w:rsid w:val="00BC7FB1"/>
    <w:rsid w:val="00BE5C06"/>
    <w:rsid w:val="00BE5F84"/>
    <w:rsid w:val="00BF4B6D"/>
    <w:rsid w:val="00C025DF"/>
    <w:rsid w:val="00C02622"/>
    <w:rsid w:val="00C02FFA"/>
    <w:rsid w:val="00C24FE1"/>
    <w:rsid w:val="00C25694"/>
    <w:rsid w:val="00C326BF"/>
    <w:rsid w:val="00C36B3D"/>
    <w:rsid w:val="00C452DB"/>
    <w:rsid w:val="00C53122"/>
    <w:rsid w:val="00C55326"/>
    <w:rsid w:val="00C810DA"/>
    <w:rsid w:val="00C97FAC"/>
    <w:rsid w:val="00CA0E2A"/>
    <w:rsid w:val="00CA41B2"/>
    <w:rsid w:val="00CD319A"/>
    <w:rsid w:val="00CF0076"/>
    <w:rsid w:val="00D015E5"/>
    <w:rsid w:val="00D0690A"/>
    <w:rsid w:val="00D21504"/>
    <w:rsid w:val="00D43889"/>
    <w:rsid w:val="00D45294"/>
    <w:rsid w:val="00D54643"/>
    <w:rsid w:val="00D55839"/>
    <w:rsid w:val="00D562F0"/>
    <w:rsid w:val="00D66301"/>
    <w:rsid w:val="00D71A75"/>
    <w:rsid w:val="00D93882"/>
    <w:rsid w:val="00D94F34"/>
    <w:rsid w:val="00D97987"/>
    <w:rsid w:val="00DB0F0D"/>
    <w:rsid w:val="00DB123B"/>
    <w:rsid w:val="00DC2630"/>
    <w:rsid w:val="00DC266E"/>
    <w:rsid w:val="00DC49EB"/>
    <w:rsid w:val="00DC5041"/>
    <w:rsid w:val="00DC67A4"/>
    <w:rsid w:val="00DD0500"/>
    <w:rsid w:val="00DE2D70"/>
    <w:rsid w:val="00DE643F"/>
    <w:rsid w:val="00DE7F5E"/>
    <w:rsid w:val="00DF1244"/>
    <w:rsid w:val="00E2520A"/>
    <w:rsid w:val="00E36091"/>
    <w:rsid w:val="00E367F5"/>
    <w:rsid w:val="00E454B0"/>
    <w:rsid w:val="00E47602"/>
    <w:rsid w:val="00E5609D"/>
    <w:rsid w:val="00E57CE6"/>
    <w:rsid w:val="00E61832"/>
    <w:rsid w:val="00E70640"/>
    <w:rsid w:val="00E71ABD"/>
    <w:rsid w:val="00E83B8D"/>
    <w:rsid w:val="00E8517B"/>
    <w:rsid w:val="00E92144"/>
    <w:rsid w:val="00EA4988"/>
    <w:rsid w:val="00EA6ABF"/>
    <w:rsid w:val="00EE1F22"/>
    <w:rsid w:val="00F04863"/>
    <w:rsid w:val="00F17199"/>
    <w:rsid w:val="00F21DCC"/>
    <w:rsid w:val="00F259AA"/>
    <w:rsid w:val="00F50826"/>
    <w:rsid w:val="00F564E2"/>
    <w:rsid w:val="00F576C7"/>
    <w:rsid w:val="00F614C1"/>
    <w:rsid w:val="00F72D7C"/>
    <w:rsid w:val="00F73E7B"/>
    <w:rsid w:val="00F86336"/>
    <w:rsid w:val="00F972CD"/>
    <w:rsid w:val="00FA06E3"/>
    <w:rsid w:val="00FB27C8"/>
    <w:rsid w:val="00FB3298"/>
    <w:rsid w:val="00FB736C"/>
    <w:rsid w:val="00FC6638"/>
    <w:rsid w:val="00FD0C60"/>
    <w:rsid w:val="00FE14A4"/>
    <w:rsid w:val="00FE25DF"/>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1703</Words>
  <Characters>9712</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Hovedstaden</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4</cp:revision>
  <cp:lastPrinted>2020-03-29T20:46:00Z</cp:lastPrinted>
  <dcterms:created xsi:type="dcterms:W3CDTF">2026-04-21T07:41:00Z</dcterms:created>
  <dcterms:modified xsi:type="dcterms:W3CDTF">2026-04-21T08:48:00Z</dcterms:modified>
</cp:coreProperties>
</file>