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9B1BF" w14:textId="77777777" w:rsidR="0097348C" w:rsidRPr="00087562" w:rsidRDefault="0097348C" w:rsidP="7B9F4D1F">
      <w:pPr>
        <w:pStyle w:val="Default"/>
        <w:spacing w:line="360" w:lineRule="auto"/>
        <w:rPr>
          <w:rFonts w:asciiTheme="minorHAnsi" w:hAnsiTheme="minorHAnsi" w:cstheme="minorBidi"/>
          <w:b/>
          <w:bCs/>
          <w:sz w:val="18"/>
          <w:szCs w:val="18"/>
          <w:u w:val="single"/>
          <w:lang w:val="en-GB"/>
        </w:rPr>
      </w:pPr>
    </w:p>
    <w:p w14:paraId="5FB93FF3" w14:textId="2899590D" w:rsidR="3EB7230F" w:rsidRPr="005632B4" w:rsidRDefault="3EB7230F" w:rsidP="7B9F4D1F">
      <w:pPr>
        <w:pStyle w:val="Default"/>
        <w:spacing w:line="360" w:lineRule="auto"/>
        <w:rPr>
          <w:rFonts w:asciiTheme="minorHAnsi" w:hAnsiTheme="minorHAnsi" w:cstheme="minorBidi"/>
          <w:b/>
          <w:bCs/>
          <w:sz w:val="40"/>
          <w:szCs w:val="40"/>
          <w:u w:val="single"/>
          <w:lang w:val="en-GB"/>
        </w:rPr>
      </w:pPr>
      <w:r w:rsidRPr="005632B4">
        <w:rPr>
          <w:rFonts w:asciiTheme="minorHAnsi" w:hAnsiTheme="minorHAnsi" w:cstheme="minorBidi"/>
          <w:b/>
          <w:bCs/>
          <w:sz w:val="40"/>
          <w:szCs w:val="40"/>
          <w:u w:val="single"/>
          <w:lang w:val="en-GB"/>
        </w:rPr>
        <w:t>Al paziente</w:t>
      </w:r>
    </w:p>
    <w:p w14:paraId="78846FC5" w14:textId="77777777" w:rsidR="00DC49EB" w:rsidRPr="00087562" w:rsidRDefault="00DC49EB" w:rsidP="7B9F4D1F">
      <w:pPr>
        <w:pStyle w:val="BodyText2"/>
        <w:spacing w:line="360" w:lineRule="auto"/>
        <w:rPr>
          <w:rFonts w:asciiTheme="minorHAnsi" w:hAnsiTheme="minorHAnsi" w:cstheme="minorBidi"/>
          <w:sz w:val="32"/>
          <w:szCs w:val="32"/>
        </w:rPr>
      </w:pPr>
    </w:p>
    <w:p w14:paraId="1A8AA478" w14:textId="42B0185D" w:rsidR="3EB7230F" w:rsidRDefault="3EB7230F" w:rsidP="7B9F4D1F">
      <w:pPr>
        <w:pStyle w:val="BodyText"/>
        <w:spacing w:line="360" w:lineRule="auto"/>
        <w:jc w:val="center"/>
        <w:rPr>
          <w:rFonts w:asciiTheme="minorHAnsi" w:hAnsiTheme="minorHAnsi" w:cstheme="minorBidi"/>
          <w:b/>
          <w:bCs/>
          <w:sz w:val="32"/>
          <w:szCs w:val="32"/>
        </w:rPr>
      </w:pPr>
      <w:r w:rsidRPr="7B9F4D1F">
        <w:rPr>
          <w:rFonts w:asciiTheme="minorHAnsi" w:hAnsiTheme="minorHAnsi" w:cstheme="minorBidi"/>
          <w:b/>
          <w:bCs/>
          <w:sz w:val="32"/>
          <w:szCs w:val="32"/>
        </w:rPr>
        <w:t>Informazioni sulla partecipazione a una sperimentazione scientifica per pazienti ricoverati con sepsi e malattia critica</w:t>
      </w:r>
    </w:p>
    <w:p w14:paraId="04F4D3EF" w14:textId="77777777" w:rsidR="007E0F85" w:rsidRPr="00087562" w:rsidRDefault="007E0F85" w:rsidP="7B9F4D1F">
      <w:pPr>
        <w:pStyle w:val="BodyText"/>
        <w:spacing w:line="360" w:lineRule="auto"/>
        <w:rPr>
          <w:rFonts w:asciiTheme="minorHAnsi" w:hAnsiTheme="minorHAnsi" w:cstheme="minorBidi"/>
          <w:b/>
          <w:bCs/>
        </w:rPr>
      </w:pPr>
    </w:p>
    <w:p w14:paraId="21398BF4" w14:textId="18E9D1ED" w:rsidR="00DC49EB" w:rsidRPr="00087562" w:rsidRDefault="00DC49EB" w:rsidP="7B9F4D1F">
      <w:pPr>
        <w:pStyle w:val="BodyText"/>
        <w:spacing w:line="360" w:lineRule="auto"/>
        <w:rPr>
          <w:rFonts w:asciiTheme="minorHAnsi" w:hAnsiTheme="minorHAnsi" w:cstheme="minorBidi"/>
          <w:b/>
          <w:bCs/>
          <w:sz w:val="28"/>
          <w:szCs w:val="28"/>
        </w:rPr>
      </w:pPr>
      <w:r w:rsidRPr="7B9F4D1F">
        <w:rPr>
          <w:rFonts w:asciiTheme="minorHAnsi" w:hAnsiTheme="minorHAnsi" w:cstheme="minorBidi"/>
          <w:b/>
          <w:bCs/>
          <w:sz w:val="28"/>
          <w:szCs w:val="28"/>
        </w:rPr>
        <w:t>EU CT-nu</w:t>
      </w:r>
      <w:r w:rsidR="007E0F85" w:rsidRPr="7B9F4D1F">
        <w:rPr>
          <w:rFonts w:asciiTheme="minorHAnsi" w:hAnsiTheme="minorHAnsi" w:cstheme="minorBidi"/>
          <w:b/>
          <w:bCs/>
          <w:sz w:val="28"/>
          <w:szCs w:val="28"/>
        </w:rPr>
        <w:t>mber</w:t>
      </w:r>
      <w:r w:rsidRPr="7B9F4D1F">
        <w:rPr>
          <w:rFonts w:asciiTheme="minorHAnsi" w:hAnsiTheme="minorHAnsi" w:cstheme="minorBidi"/>
          <w:b/>
          <w:bCs/>
          <w:sz w:val="28"/>
          <w:szCs w:val="28"/>
        </w:rPr>
        <w:t>: 2023-509703-33-00</w:t>
      </w:r>
    </w:p>
    <w:p w14:paraId="52D8AAE2" w14:textId="77777777" w:rsidR="00DC49EB" w:rsidRPr="00087562" w:rsidRDefault="00DC49EB" w:rsidP="7B9F4D1F">
      <w:pPr>
        <w:pStyle w:val="BodyText"/>
        <w:spacing w:line="360" w:lineRule="auto"/>
        <w:rPr>
          <w:rFonts w:asciiTheme="minorHAnsi" w:hAnsiTheme="minorHAnsi" w:cstheme="minorBidi"/>
          <w:b/>
          <w:bCs/>
        </w:rPr>
      </w:pPr>
    </w:p>
    <w:p w14:paraId="5B3BCDF2" w14:textId="5F1E726C" w:rsidR="487ECFA8" w:rsidRDefault="487ECFA8" w:rsidP="7B9F4D1F">
      <w:pPr>
        <w:spacing w:line="360" w:lineRule="auto"/>
        <w:rPr>
          <w:rFonts w:asciiTheme="minorHAnsi" w:hAnsiTheme="minorHAnsi" w:cstheme="minorBidi"/>
          <w:b/>
          <w:bCs/>
          <w:sz w:val="26"/>
          <w:szCs w:val="26"/>
        </w:rPr>
      </w:pPr>
      <w:r w:rsidRPr="7B9F4D1F">
        <w:rPr>
          <w:rFonts w:asciiTheme="minorHAnsi" w:hAnsiTheme="minorHAnsi" w:cstheme="minorBidi"/>
          <w:b/>
          <w:bCs/>
          <w:sz w:val="26"/>
          <w:szCs w:val="26"/>
        </w:rPr>
        <w:t>Titolo dello studio</w:t>
      </w:r>
    </w:p>
    <w:p w14:paraId="33B7AFBB" w14:textId="2598032C" w:rsidR="487ECFA8" w:rsidRDefault="487ECFA8" w:rsidP="7B9F4D1F">
      <w:pPr>
        <w:spacing w:line="360" w:lineRule="auto"/>
      </w:pPr>
      <w:r w:rsidRPr="7B9F4D1F">
        <w:rPr>
          <w:rFonts w:asciiTheme="minorHAnsi" w:hAnsiTheme="minorHAnsi" w:cstheme="minorBidi"/>
          <w:sz w:val="26"/>
          <w:szCs w:val="26"/>
        </w:rPr>
        <w:t xml:space="preserve">Empirical meropenem vs piperacillin/tazobactam for adult patients with sepsis (EMPRESS) </w:t>
      </w:r>
    </w:p>
    <w:p w14:paraId="23F88809" w14:textId="3046B4A5" w:rsidR="487ECFA8" w:rsidRDefault="487ECFA8" w:rsidP="7B9F4D1F">
      <w:pPr>
        <w:spacing w:line="360" w:lineRule="auto"/>
      </w:pPr>
      <w:r w:rsidRPr="7B9F4D1F">
        <w:rPr>
          <w:rFonts w:asciiTheme="minorHAnsi" w:hAnsiTheme="minorHAnsi" w:cstheme="minorBidi"/>
          <w:sz w:val="26"/>
          <w:szCs w:val="26"/>
        </w:rPr>
        <w:t xml:space="preserve"> </w:t>
      </w:r>
    </w:p>
    <w:p w14:paraId="09F39AE6" w14:textId="5FFF8BA5" w:rsidR="487ECFA8" w:rsidRDefault="487ECFA8" w:rsidP="7B9F4D1F">
      <w:pPr>
        <w:spacing w:line="360" w:lineRule="auto"/>
        <w:rPr>
          <w:rFonts w:asciiTheme="minorHAnsi" w:hAnsiTheme="minorHAnsi" w:cstheme="minorBidi"/>
          <w:b/>
          <w:bCs/>
          <w:sz w:val="26"/>
          <w:szCs w:val="26"/>
        </w:rPr>
      </w:pPr>
      <w:r w:rsidRPr="7B9F4D1F">
        <w:rPr>
          <w:rFonts w:asciiTheme="minorHAnsi" w:hAnsiTheme="minorHAnsi" w:cstheme="minorBidi"/>
          <w:b/>
          <w:bCs/>
          <w:sz w:val="26"/>
          <w:szCs w:val="26"/>
        </w:rPr>
        <w:t xml:space="preserve">Titolo in italiano </w:t>
      </w:r>
    </w:p>
    <w:p w14:paraId="1A626B98" w14:textId="6F0B766A" w:rsidR="487ECFA8" w:rsidRDefault="487ECFA8" w:rsidP="7B9F4D1F">
      <w:pPr>
        <w:spacing w:line="360" w:lineRule="auto"/>
      </w:pPr>
      <w:r w:rsidRPr="7B9F4D1F">
        <w:rPr>
          <w:rFonts w:asciiTheme="minorHAnsi" w:hAnsiTheme="minorHAnsi" w:cstheme="minorBidi"/>
          <w:sz w:val="26"/>
          <w:szCs w:val="26"/>
        </w:rPr>
        <w:t>Meropenem versus piperacillina/tazobactan empirici per pazienti adulti affetti da sepsi (EMPRESS)</w:t>
      </w:r>
    </w:p>
    <w:p w14:paraId="439E9F6A" w14:textId="77777777" w:rsidR="00E36091" w:rsidRPr="00087562" w:rsidRDefault="00E36091" w:rsidP="7B9F4D1F">
      <w:pPr>
        <w:pStyle w:val="BodyText"/>
        <w:spacing w:line="360" w:lineRule="auto"/>
        <w:rPr>
          <w:rFonts w:asciiTheme="minorHAnsi" w:hAnsiTheme="minorHAnsi" w:cstheme="minorBidi"/>
          <w:sz w:val="26"/>
          <w:szCs w:val="26"/>
        </w:rPr>
      </w:pPr>
    </w:p>
    <w:p w14:paraId="3FD2FED7" w14:textId="44B5E34D" w:rsidR="00295277" w:rsidRPr="00087562" w:rsidRDefault="007E0F85" w:rsidP="7B9F4D1F">
      <w:pPr>
        <w:pStyle w:val="BodyText"/>
        <w:spacing w:line="360" w:lineRule="auto"/>
        <w:rPr>
          <w:rFonts w:asciiTheme="minorHAnsi" w:hAnsiTheme="minorHAnsi" w:cstheme="minorBidi"/>
          <w:b/>
          <w:bCs/>
          <w:sz w:val="24"/>
          <w:szCs w:val="24"/>
        </w:rPr>
      </w:pPr>
      <w:r w:rsidRPr="7B9F4D1F">
        <w:rPr>
          <w:rFonts w:asciiTheme="minorHAnsi" w:hAnsiTheme="minorHAnsi" w:cstheme="minorBidi"/>
          <w:b/>
          <w:bCs/>
          <w:sz w:val="24"/>
          <w:szCs w:val="24"/>
        </w:rPr>
        <w:t>Introdu</w:t>
      </w:r>
      <w:r w:rsidR="6433D4B4" w:rsidRPr="7B9F4D1F">
        <w:rPr>
          <w:rFonts w:asciiTheme="minorHAnsi" w:hAnsiTheme="minorHAnsi" w:cstheme="minorBidi"/>
          <w:b/>
          <w:bCs/>
          <w:sz w:val="24"/>
          <w:szCs w:val="24"/>
        </w:rPr>
        <w:t>zione</w:t>
      </w:r>
    </w:p>
    <w:p w14:paraId="0A3124C5" w14:textId="15100DC7" w:rsidR="6433D4B4" w:rsidRDefault="6433D4B4" w:rsidP="7B9F4D1F">
      <w:pPr>
        <w:pStyle w:val="BodyText"/>
        <w:spacing w:after="240" w:line="360" w:lineRule="auto"/>
        <w:rPr>
          <w:rFonts w:asciiTheme="minorHAnsi" w:hAnsiTheme="minorHAnsi" w:cstheme="minorBidi"/>
          <w:b/>
          <w:bCs/>
          <w:sz w:val="24"/>
          <w:szCs w:val="24"/>
        </w:rPr>
      </w:pPr>
      <w:r w:rsidRPr="7B9F4D1F">
        <w:rPr>
          <w:rFonts w:asciiTheme="minorHAnsi" w:eastAsiaTheme="minorEastAsia" w:hAnsiTheme="minorHAnsi" w:cstheme="minorBidi"/>
          <w:color w:val="000000" w:themeColor="text1"/>
          <w:sz w:val="24"/>
          <w:szCs w:val="24"/>
        </w:rPr>
        <w:t xml:space="preserve">Desideriamo chiederLe se intende fornire il consenso alla partecipazione a una sperimentazione clinica in ambito sanitario. Lei è stato/a affetto/a da una grave infezione che ha reso necessario il ricovero ospedaliero. Lo studio è stato avviato durante il trattamento in fase acuta e successivamente discusso con un medico indipendente dallo studio (tutore sperimentale o “trial guardian”) e con i suoi familiari più prossimi. La necessità di un trattamento immediato e le sue condizioni critiche non Le consentivano, in quel momento, di esprimere un consenso informato alla partecipazione. Ora che le sue condizioni sono in miglioramento, desideriamo chiederLe se intende proseguire la partecipazione allo studio. È importante che Lei comprenda pienamente in cosa consiste la sperimentazione e le ragioni della sua conduzione. La invitiamo pertanto a leggere attentamente il presente documento informativo. Le sarà inoltre offerto un colloquio con un medico responsabile dello studio, durante il quale le informazioni verranno ulteriormente approfondite e Lei potrà porre eventuali domande. È possibile farsi accompagnare da un familiare, un amico o una persona di fiducia. Se deciderà di proseguire la partecipazione allo studio, Le sarà </w:t>
      </w:r>
      <w:r w:rsidRPr="7B9F4D1F">
        <w:rPr>
          <w:rFonts w:asciiTheme="minorHAnsi" w:eastAsiaTheme="minorEastAsia" w:hAnsiTheme="minorHAnsi" w:cstheme="minorBidi"/>
          <w:color w:val="000000" w:themeColor="text1"/>
          <w:sz w:val="24"/>
          <w:szCs w:val="24"/>
        </w:rPr>
        <w:lastRenderedPageBreak/>
        <w:t>richiesto di firmare il modulo di consenso informato. Le ricordiamo che ha diritto ad almeno 24 ore di tempo per riflettere prima di prendere una decisione. La partecipazione è volontaria: può rifiutare o revocare il consenso in qualsiasi momento e senza fornire motivazioni, senza che ciò influisca sulle cure che riceverà.</w:t>
      </w:r>
    </w:p>
    <w:p w14:paraId="347240D5" w14:textId="77777777" w:rsidR="007E0F85" w:rsidRPr="00087562" w:rsidRDefault="007E0F85" w:rsidP="7B9F4D1F">
      <w:pPr>
        <w:pStyle w:val="BodyText"/>
        <w:spacing w:line="360" w:lineRule="auto"/>
        <w:rPr>
          <w:rFonts w:asciiTheme="minorHAnsi" w:hAnsiTheme="minorHAnsi" w:cstheme="minorBidi"/>
          <w:b/>
          <w:bCs/>
          <w:sz w:val="24"/>
          <w:szCs w:val="24"/>
        </w:rPr>
      </w:pPr>
    </w:p>
    <w:p w14:paraId="4D2EE47C" w14:textId="77777777" w:rsidR="007E0F85" w:rsidRPr="00087562" w:rsidRDefault="007E0F85" w:rsidP="7B9F4D1F">
      <w:pPr>
        <w:pStyle w:val="BodyText"/>
        <w:spacing w:line="360" w:lineRule="auto"/>
        <w:rPr>
          <w:rFonts w:asciiTheme="minorHAnsi" w:hAnsiTheme="minorHAnsi" w:cstheme="minorBidi"/>
          <w:b/>
          <w:bCs/>
          <w:sz w:val="24"/>
          <w:szCs w:val="24"/>
        </w:rPr>
      </w:pPr>
      <w:r w:rsidRPr="7B9F4D1F">
        <w:rPr>
          <w:rFonts w:asciiTheme="minorHAnsi" w:hAnsiTheme="minorHAnsi" w:cstheme="minorBidi"/>
          <w:b/>
          <w:bCs/>
          <w:sz w:val="24"/>
          <w:szCs w:val="24"/>
        </w:rPr>
        <w:t>Background</w:t>
      </w:r>
    </w:p>
    <w:p w14:paraId="1B0040F1" w14:textId="72637466" w:rsidR="007E0F85" w:rsidRPr="00087562" w:rsidRDefault="2643FC71" w:rsidP="7B9F4D1F">
      <w:pPr>
        <w:pStyle w:val="BodyText"/>
        <w:spacing w:line="360" w:lineRule="auto"/>
        <w:rPr>
          <w:rFonts w:asciiTheme="minorHAnsi" w:hAnsiTheme="minorHAnsi" w:cstheme="minorBidi"/>
          <w:sz w:val="24"/>
          <w:szCs w:val="24"/>
        </w:rPr>
      </w:pPr>
      <w:r w:rsidRPr="7B9F4D1F">
        <w:rPr>
          <w:rFonts w:asciiTheme="minorHAnsi" w:hAnsiTheme="minorHAnsi" w:cstheme="minorBidi"/>
          <w:sz w:val="24"/>
          <w:szCs w:val="24"/>
        </w:rPr>
        <w:t>La sepsi (setticemia) è una condizione potenzialmente letale che può insorgere in seguito a una grave infezione. Essa compromette la funzionalità degli organi e, nei casi più gravi, può evolvere in shock settico, caratterizzato da insufficienza circolatoria. Il trattamento con antibiotici ad ampio spettro rappresenta lo standard di cura per i pazienti ricoverati con sepsi, poiché aumenta la sopravvivenza. La scelta dell’antibiotico dipende da diversi fattori, quali il tipo di infezione, eventuali patologie concomitanti e la probabile sensibilità del batterio agli antibiotici. La maggior parte dei pazienti viene trattata con uno dei seguenti due antibiotici ad ampio spettro: piperacillina/tazobactam oppure meropenem. Tuttavia, non è ancora chiaro quale dei due sia più efficace e presenti meno effetti collaterali.</w:t>
      </w:r>
    </w:p>
    <w:p w14:paraId="73C8137F" w14:textId="77777777" w:rsidR="007E0F85" w:rsidRPr="00087562" w:rsidRDefault="007E0F85" w:rsidP="7B9F4D1F">
      <w:pPr>
        <w:pStyle w:val="BodyText"/>
        <w:spacing w:line="360" w:lineRule="auto"/>
        <w:rPr>
          <w:rFonts w:asciiTheme="minorHAnsi" w:hAnsiTheme="minorHAnsi" w:cstheme="minorBidi"/>
          <w:sz w:val="24"/>
          <w:szCs w:val="24"/>
        </w:rPr>
      </w:pPr>
    </w:p>
    <w:p w14:paraId="0890CBCA" w14:textId="733BA04F" w:rsidR="2643FC71" w:rsidRDefault="2643FC71" w:rsidP="7B9F4D1F">
      <w:pPr>
        <w:spacing w:line="360" w:lineRule="auto"/>
        <w:rPr>
          <w:rFonts w:ascii="Calibri" w:eastAsia="Calibri" w:hAnsi="Calibri" w:cs="Calibri"/>
          <w:color w:val="000000" w:themeColor="text1"/>
        </w:rPr>
      </w:pPr>
      <w:r w:rsidRPr="7B9F4D1F">
        <w:rPr>
          <w:rFonts w:ascii="Calibri" w:eastAsia="Calibri" w:hAnsi="Calibri" w:cs="Calibri"/>
          <w:b/>
          <w:bCs/>
          <w:color w:val="000000" w:themeColor="text1"/>
        </w:rPr>
        <w:t>Scopo dello studio</w:t>
      </w:r>
    </w:p>
    <w:p w14:paraId="1A9905EC" w14:textId="2796F497" w:rsidR="2643FC71" w:rsidRDefault="2643FC71" w:rsidP="7B9F4D1F">
      <w:pPr>
        <w:spacing w:line="360" w:lineRule="auto"/>
        <w:rPr>
          <w:rFonts w:ascii="Calibri" w:eastAsia="Calibri" w:hAnsi="Calibri" w:cs="Calibri"/>
          <w:color w:val="000000" w:themeColor="text1"/>
        </w:rPr>
      </w:pPr>
      <w:r w:rsidRPr="7B9F4D1F">
        <w:rPr>
          <w:rFonts w:ascii="Calibri" w:eastAsia="Calibri" w:hAnsi="Calibri" w:cs="Calibri"/>
          <w:color w:val="000000" w:themeColor="text1"/>
        </w:rPr>
        <w:t>Lo scopo dello studio è valutare se il meropenem, rispetto alla piperacillina/tazobactam, determini un aumento della sopravvivenza nei pazienti con sepsi e condizioni critiche.</w:t>
      </w:r>
    </w:p>
    <w:p w14:paraId="1117322C" w14:textId="5F5950F3" w:rsidR="7B9F4D1F" w:rsidRDefault="7B9F4D1F" w:rsidP="7B9F4D1F">
      <w:pPr>
        <w:pStyle w:val="BodyText"/>
        <w:spacing w:line="360" w:lineRule="auto"/>
        <w:rPr>
          <w:rFonts w:asciiTheme="minorHAnsi" w:hAnsiTheme="minorHAnsi" w:cstheme="minorBidi"/>
          <w:b/>
          <w:bCs/>
          <w:sz w:val="24"/>
          <w:szCs w:val="24"/>
        </w:rPr>
      </w:pPr>
    </w:p>
    <w:p w14:paraId="78E1FA42" w14:textId="1E6B03F2" w:rsidR="721E296B" w:rsidRDefault="721E296B" w:rsidP="7B9F4D1F">
      <w:pPr>
        <w:pStyle w:val="BodyText"/>
        <w:spacing w:line="360" w:lineRule="auto"/>
      </w:pPr>
      <w:r w:rsidRPr="7B9F4D1F">
        <w:rPr>
          <w:rFonts w:asciiTheme="minorHAnsi" w:hAnsiTheme="minorHAnsi" w:cstheme="minorBidi"/>
          <w:b/>
          <w:bCs/>
          <w:sz w:val="24"/>
          <w:szCs w:val="24"/>
        </w:rPr>
        <w:t>Modalità di svolgimento</w:t>
      </w:r>
    </w:p>
    <w:p w14:paraId="13C54EF2" w14:textId="0143E9E8" w:rsidR="721E296B" w:rsidRDefault="721E296B" w:rsidP="7B9F4D1F">
      <w:pPr>
        <w:pStyle w:val="BodyText"/>
        <w:spacing w:line="360" w:lineRule="auto"/>
        <w:rPr>
          <w:rFonts w:asciiTheme="minorHAnsi" w:hAnsiTheme="minorHAnsi" w:cstheme="minorBidi"/>
          <w:color w:val="000000" w:themeColor="text1"/>
        </w:rPr>
      </w:pPr>
      <w:r w:rsidRPr="7B9F4D1F">
        <w:rPr>
          <w:rFonts w:asciiTheme="minorHAnsi" w:hAnsiTheme="minorHAnsi" w:cstheme="minorBidi"/>
          <w:color w:val="000000" w:themeColor="text1"/>
        </w:rPr>
        <w:t xml:space="preserve">Lo studio è condotto in ospedali della Scandinavia e di altri paesi nel mondo. Nell’ambito dello studio Lei ha ricevuto, secondo le linee guida nazionali e internazionali per il trattamento della sepsi, uno dei due antibiotici: meropenem oppure piperacillina/tazobactam. L’assegnazione è avvenuta in modo casuale. Il trattamento con uno dei due antibiotici è somministrato per un massimo di 30 giorni. Durante il ricovero, vengono raccolti dalla sua cartella clinica dati riguardanti le sue condizioni di salute precedenti alla malattia e l’andamento clinico durante il ricovero. Tali dati sono utilizzati per valutare efficacia e sicurezza dei due trattamenti. </w:t>
      </w:r>
    </w:p>
    <w:p w14:paraId="2EC464D9" w14:textId="3336CA8A" w:rsidR="721E296B" w:rsidRDefault="721E296B" w:rsidP="7B9F4D1F">
      <w:pPr>
        <w:spacing w:before="240" w:line="360" w:lineRule="auto"/>
      </w:pPr>
      <w:r w:rsidRPr="7B9F4D1F">
        <w:rPr>
          <w:rFonts w:asciiTheme="minorHAnsi" w:hAnsiTheme="minorHAnsi" w:cstheme="minorBidi"/>
          <w:color w:val="000000" w:themeColor="text1"/>
        </w:rPr>
        <w:t xml:space="preserve"> </w:t>
      </w:r>
    </w:p>
    <w:p w14:paraId="6E9DCDA0" w14:textId="371CB7B7" w:rsidR="721E296B" w:rsidRDefault="721E296B" w:rsidP="7B9F4D1F">
      <w:pPr>
        <w:spacing w:before="240" w:line="360" w:lineRule="auto"/>
      </w:pPr>
      <w:r w:rsidRPr="7B9F4D1F">
        <w:rPr>
          <w:rFonts w:asciiTheme="minorHAnsi" w:hAnsiTheme="minorHAnsi" w:cstheme="minorBidi"/>
          <w:color w:val="000000" w:themeColor="text1"/>
        </w:rPr>
        <w:lastRenderedPageBreak/>
        <w:t>Al termine dello studio verranno analizzati il numero di partecipanti sopravvissuti, il numero di partecipanti che hanno manifestato effetti collaterali o che sono stati posti in isolamento a causa di batteri resistenti, la durata delle terapie di supporto vitale, la durata della degenza ospedaliera. A 90 e 180 giorni dalla partecipazione, Lei o un suo familiare potreste essere contattati telefonicamente o per iscritto per raccogliere informazioni sulla qualità di vita correlata alla salute e altri dati a lungo termine (sopravvivenza e ricoveri successivi). Lo studio è in aperto (non in cieco), pertanto Lei può essere informato/a su quale antibiotico ha ricevuto, ad esempio durante il colloquio con il medico responsabile o un altro membro del gruppo di ricerca.</w:t>
      </w:r>
    </w:p>
    <w:p w14:paraId="45D485B5" w14:textId="77777777" w:rsidR="00FF2601" w:rsidRPr="00087562" w:rsidRDefault="00FF2601" w:rsidP="7B9F4D1F">
      <w:pPr>
        <w:spacing w:line="360" w:lineRule="auto"/>
        <w:rPr>
          <w:rFonts w:asciiTheme="minorHAnsi" w:hAnsiTheme="minorHAnsi" w:cstheme="minorBidi"/>
        </w:rPr>
      </w:pPr>
    </w:p>
    <w:p w14:paraId="18129A77" w14:textId="6F2892DD" w:rsidR="007E0F85" w:rsidRPr="00087562" w:rsidRDefault="007E0F85" w:rsidP="7B9F4D1F">
      <w:pPr>
        <w:spacing w:line="360" w:lineRule="auto"/>
        <w:rPr>
          <w:rFonts w:asciiTheme="minorHAnsi" w:hAnsiTheme="minorHAnsi" w:cstheme="minorBidi"/>
          <w:b/>
          <w:bCs/>
          <w:color w:val="000000"/>
        </w:rPr>
      </w:pPr>
      <w:bookmarkStart w:id="0" w:name="_Hlk35885015"/>
      <w:bookmarkStart w:id="1" w:name="_Hlk35864284"/>
      <w:r w:rsidRPr="7B9F4D1F">
        <w:rPr>
          <w:rFonts w:asciiTheme="minorHAnsi" w:hAnsiTheme="minorHAnsi" w:cstheme="minorBidi"/>
          <w:b/>
          <w:bCs/>
          <w:color w:val="000000" w:themeColor="text1"/>
        </w:rPr>
        <w:t>Benefi</w:t>
      </w:r>
      <w:r w:rsidR="47F190D6" w:rsidRPr="7B9F4D1F">
        <w:rPr>
          <w:rFonts w:asciiTheme="minorHAnsi" w:hAnsiTheme="minorHAnsi" w:cstheme="minorBidi"/>
          <w:b/>
          <w:bCs/>
          <w:color w:val="000000" w:themeColor="text1"/>
        </w:rPr>
        <w:t>ci attesi</w:t>
      </w:r>
    </w:p>
    <w:p w14:paraId="1CBC8E74" w14:textId="3A15A5AF" w:rsidR="007E0F85" w:rsidRPr="00087562" w:rsidRDefault="47F190D6" w:rsidP="7B9F4D1F">
      <w:pPr>
        <w:spacing w:line="360" w:lineRule="auto"/>
        <w:rPr>
          <w:rFonts w:asciiTheme="minorHAnsi" w:hAnsiTheme="minorHAnsi" w:cstheme="minorBidi"/>
          <w:color w:val="000000"/>
        </w:rPr>
      </w:pPr>
      <w:r w:rsidRPr="7B9F4D1F">
        <w:rPr>
          <w:rFonts w:asciiTheme="minorHAnsi" w:hAnsiTheme="minorHAnsi" w:cstheme="minorBidi"/>
          <w:color w:val="000000" w:themeColor="text1"/>
        </w:rPr>
        <w:t>Non possiamo garantire un beneficio diretto dalla partecipazione. Entrambi gli antibiotici aumentano la sopravvivenza nei pazienti con sepsi, ma non è noto quale sia il migliore o presenti meno effetti collaterali. La sua partecipazione contribuirà ad ampliare le conoscenze sul trattamento ottimale della sepsi. I rischi associati allo studio sono minimi, poiché i pazienti a maggior rischio di effetti collaterali non sono inclusi ed entrambi i farmaci sono già utilizzati routinariamente nella pratica clinica. Riteniamo che i risultati possano migliorare il trattamento dei futuri pazienti con sepsi</w:t>
      </w:r>
      <w:r w:rsidR="007E0F85" w:rsidRPr="7B9F4D1F">
        <w:rPr>
          <w:rFonts w:asciiTheme="minorHAnsi" w:hAnsiTheme="minorHAnsi" w:cstheme="minorBidi"/>
          <w:color w:val="000000" w:themeColor="text1"/>
        </w:rPr>
        <w:t>.</w:t>
      </w:r>
    </w:p>
    <w:bookmarkEnd w:id="0"/>
    <w:bookmarkEnd w:id="1"/>
    <w:p w14:paraId="658B19AA" w14:textId="77777777" w:rsidR="00F259AA" w:rsidRPr="00087562" w:rsidRDefault="00F259AA" w:rsidP="7B9F4D1F">
      <w:pPr>
        <w:spacing w:line="360" w:lineRule="auto"/>
        <w:rPr>
          <w:rFonts w:asciiTheme="minorHAnsi" w:hAnsiTheme="minorHAnsi" w:cstheme="minorBidi"/>
        </w:rPr>
      </w:pPr>
    </w:p>
    <w:p w14:paraId="73CBF2AD" w14:textId="2BF2CCF4" w:rsidR="66705BC6" w:rsidRDefault="66705BC6" w:rsidP="7B9F4D1F">
      <w:pPr>
        <w:spacing w:line="360" w:lineRule="auto"/>
        <w:rPr>
          <w:rFonts w:asciiTheme="minorHAnsi" w:hAnsiTheme="minorHAnsi" w:cstheme="minorBidi"/>
          <w:b/>
          <w:bCs/>
        </w:rPr>
      </w:pPr>
      <w:r w:rsidRPr="7B9F4D1F">
        <w:rPr>
          <w:rFonts w:asciiTheme="minorHAnsi" w:hAnsiTheme="minorHAnsi" w:cstheme="minorBidi"/>
          <w:b/>
          <w:bCs/>
        </w:rPr>
        <w:t>Valutazione dell’idoneità</w:t>
      </w:r>
    </w:p>
    <w:p w14:paraId="714E5815" w14:textId="11D6A8CF" w:rsidR="007E0F85" w:rsidRPr="00087562" w:rsidRDefault="66705BC6" w:rsidP="7B9F4D1F">
      <w:pPr>
        <w:spacing w:after="200" w:line="360" w:lineRule="auto"/>
        <w:rPr>
          <w:rFonts w:asciiTheme="minorHAnsi" w:hAnsiTheme="minorHAnsi" w:cstheme="minorBidi"/>
        </w:rPr>
      </w:pPr>
      <w:r w:rsidRPr="7B9F4D1F">
        <w:rPr>
          <w:rFonts w:asciiTheme="minorHAnsi" w:hAnsiTheme="minorHAnsi" w:cstheme="minorBidi"/>
        </w:rPr>
        <w:t xml:space="preserve">Trattandosi di uno studio clinico in ambito di emergenza, Lei è stato/a incluso/a sulla base di una valutazione iniziale dei criteri di inclusione ed esclusione, applicati dal personale sanitario responsabile delle sue cure, </w:t>
      </w:r>
      <w:r w:rsidRPr="7B9F4D1F">
        <w:rPr>
          <w:rFonts w:ascii="Calibri" w:eastAsia="Calibri" w:hAnsi="Calibri" w:cs="Calibri"/>
          <w:color w:val="000000" w:themeColor="text1"/>
        </w:rPr>
        <w:t>al fine di garantire che la sua partecipazione sia conforme alle linee guida stabilite per lo studio clinico. Di seguito è riportato un riepilogo dei criteri utilizzati per valutare l’idoneità alla partecipazione:</w:t>
      </w:r>
      <w:r w:rsidRPr="7B9F4D1F">
        <w:rPr>
          <w:rFonts w:ascii="Calibri" w:eastAsia="Calibri" w:hAnsi="Calibri" w:cs="Calibri"/>
        </w:rPr>
        <w:t xml:space="preserve"> </w:t>
      </w:r>
      <w:r w:rsidR="4621B99E" w:rsidRPr="7B9F4D1F">
        <w:rPr>
          <w:rFonts w:asciiTheme="minorHAnsi" w:hAnsiTheme="minorHAnsi" w:cstheme="minorBidi"/>
        </w:rPr>
        <w:t>￼</w:t>
      </w:r>
    </w:p>
    <w:p w14:paraId="7BADB4C2" w14:textId="2D15151E" w:rsidR="7FDD2A1C" w:rsidRDefault="7FDD2A1C" w:rsidP="7B9F4D1F">
      <w:pPr>
        <w:spacing w:line="360" w:lineRule="auto"/>
        <w:rPr>
          <w:rFonts w:ascii="Calibri" w:eastAsia="Calibri" w:hAnsi="Calibri" w:cs="Calibri"/>
          <w:color w:val="000000" w:themeColor="text1"/>
        </w:rPr>
      </w:pPr>
      <w:r w:rsidRPr="7B9F4D1F">
        <w:rPr>
          <w:rFonts w:ascii="Calibri" w:eastAsia="Calibri" w:hAnsi="Calibri" w:cs="Calibri"/>
          <w:color w:val="000000" w:themeColor="text1"/>
        </w:rPr>
        <w:t>È stato valutato che soddisfacesse i seguenti criteri:</w:t>
      </w:r>
    </w:p>
    <w:p w14:paraId="204378A5" w14:textId="52C43E80" w:rsidR="7FDD2A1C" w:rsidRDefault="7FDD2A1C" w:rsidP="7B9F4D1F">
      <w:pPr>
        <w:pStyle w:val="ListParagraph"/>
        <w:numPr>
          <w:ilvl w:val="0"/>
          <w:numId w:val="12"/>
        </w:numPr>
        <w:spacing w:line="360" w:lineRule="auto"/>
        <w:rPr>
          <w:rFonts w:ascii="Calibri" w:eastAsia="Calibri" w:hAnsi="Calibri" w:cs="Calibri"/>
          <w:color w:val="000000" w:themeColor="text1"/>
        </w:rPr>
      </w:pPr>
      <w:r w:rsidRPr="7B9F4D1F">
        <w:rPr>
          <w:rFonts w:ascii="Calibri" w:eastAsia="Calibri" w:hAnsi="Calibri" w:cs="Calibri"/>
          <w:color w:val="000000" w:themeColor="text1"/>
        </w:rPr>
        <w:t>Età pari o superiore a 18 anni;</w:t>
      </w:r>
    </w:p>
    <w:p w14:paraId="29539B81" w14:textId="53BB601D" w:rsidR="7FDD2A1C" w:rsidRDefault="7FDD2A1C" w:rsidP="7B9F4D1F">
      <w:pPr>
        <w:pStyle w:val="ListParagraph"/>
        <w:numPr>
          <w:ilvl w:val="0"/>
          <w:numId w:val="12"/>
        </w:numPr>
        <w:spacing w:line="360" w:lineRule="auto"/>
        <w:rPr>
          <w:rFonts w:ascii="Calibri" w:eastAsia="Calibri" w:hAnsi="Calibri" w:cs="Calibri"/>
          <w:color w:val="000000" w:themeColor="text1"/>
        </w:rPr>
      </w:pPr>
      <w:r w:rsidRPr="7B9F4D1F">
        <w:rPr>
          <w:rFonts w:ascii="Calibri" w:eastAsia="Calibri" w:hAnsi="Calibri" w:cs="Calibri"/>
          <w:color w:val="000000" w:themeColor="text1"/>
        </w:rPr>
        <w:t>Presenza di sepsi e condizione critica con necessità di elevato supporto di ossigeno, ventilazione meccanica o supporto circolatorio.</w:t>
      </w:r>
    </w:p>
    <w:p w14:paraId="0BC962EB" w14:textId="173A00BB" w:rsidR="7B9F4D1F" w:rsidRDefault="7B9F4D1F" w:rsidP="7B9F4D1F">
      <w:pPr>
        <w:pStyle w:val="ListParagraph"/>
        <w:spacing w:line="360" w:lineRule="auto"/>
        <w:rPr>
          <w:rFonts w:ascii="Calibri" w:eastAsia="Calibri" w:hAnsi="Calibri" w:cs="Calibri"/>
          <w:color w:val="000000" w:themeColor="text1"/>
        </w:rPr>
      </w:pPr>
    </w:p>
    <w:p w14:paraId="6B8B135A" w14:textId="7CA4A014" w:rsidR="7FDD2A1C" w:rsidRDefault="7FDD2A1C" w:rsidP="7B9F4D1F">
      <w:pPr>
        <w:spacing w:line="360" w:lineRule="auto"/>
        <w:rPr>
          <w:rFonts w:ascii="Calibri" w:eastAsia="Calibri" w:hAnsi="Calibri" w:cs="Calibri"/>
          <w:color w:val="000000" w:themeColor="text1"/>
        </w:rPr>
      </w:pPr>
      <w:r w:rsidRPr="7B9F4D1F">
        <w:rPr>
          <w:rFonts w:ascii="Calibri" w:eastAsia="Calibri" w:hAnsi="Calibri" w:cs="Calibri"/>
          <w:color w:val="000000" w:themeColor="text1"/>
        </w:rPr>
        <w:t>È stato valutato che non soddisfacesse i seguenti criteri:</w:t>
      </w:r>
    </w:p>
    <w:p w14:paraId="6BC9CE06" w14:textId="25A1AC6E" w:rsidR="7FDD2A1C" w:rsidRDefault="7FDD2A1C" w:rsidP="7B9F4D1F">
      <w:pPr>
        <w:pStyle w:val="ListParagraph"/>
        <w:numPr>
          <w:ilvl w:val="0"/>
          <w:numId w:val="12"/>
        </w:numPr>
        <w:spacing w:line="360" w:lineRule="auto"/>
        <w:rPr>
          <w:rFonts w:ascii="Calibri" w:eastAsia="Calibri" w:hAnsi="Calibri" w:cs="Calibri"/>
          <w:color w:val="000000" w:themeColor="text1"/>
        </w:rPr>
      </w:pPr>
      <w:r w:rsidRPr="7B9F4D1F">
        <w:rPr>
          <w:rFonts w:ascii="Calibri" w:eastAsia="Calibri" w:hAnsi="Calibri" w:cs="Calibri"/>
          <w:color w:val="000000" w:themeColor="text1"/>
        </w:rPr>
        <w:lastRenderedPageBreak/>
        <w:t>NON aveva ricevuto meropenem o piperacillina/tazobactam per più di 24 ore prima dell’inclusione;</w:t>
      </w:r>
    </w:p>
    <w:p w14:paraId="516E2F13" w14:textId="32E643E2" w:rsidR="7FDD2A1C" w:rsidRDefault="7FDD2A1C" w:rsidP="7B9F4D1F">
      <w:pPr>
        <w:pStyle w:val="ListParagraph"/>
        <w:numPr>
          <w:ilvl w:val="0"/>
          <w:numId w:val="12"/>
        </w:numPr>
        <w:spacing w:line="360" w:lineRule="auto"/>
        <w:rPr>
          <w:rFonts w:ascii="Calibri" w:eastAsia="Calibri" w:hAnsi="Calibri" w:cs="Calibri"/>
          <w:color w:val="000000" w:themeColor="text1"/>
        </w:rPr>
      </w:pPr>
      <w:r w:rsidRPr="7B9F4D1F">
        <w:rPr>
          <w:rFonts w:ascii="Calibri" w:eastAsia="Calibri" w:hAnsi="Calibri" w:cs="Calibri"/>
          <w:color w:val="000000" w:themeColor="text1"/>
        </w:rPr>
        <w:t>NON presentava allergia o ipersensibilità a penicilline o antibiotici simili;</w:t>
      </w:r>
    </w:p>
    <w:p w14:paraId="0797F0D4" w14:textId="6225EC2F" w:rsidR="7FDD2A1C" w:rsidRDefault="7FDD2A1C" w:rsidP="7B9F4D1F">
      <w:pPr>
        <w:pStyle w:val="ListParagraph"/>
        <w:numPr>
          <w:ilvl w:val="0"/>
          <w:numId w:val="12"/>
        </w:numPr>
        <w:spacing w:line="360" w:lineRule="auto"/>
        <w:rPr>
          <w:rFonts w:ascii="Calibri" w:eastAsia="Calibri" w:hAnsi="Calibri" w:cs="Calibri"/>
          <w:color w:val="000000" w:themeColor="text1"/>
        </w:rPr>
      </w:pPr>
      <w:r w:rsidRPr="7B9F4D1F">
        <w:rPr>
          <w:rFonts w:ascii="Calibri" w:eastAsia="Calibri" w:hAnsi="Calibri" w:cs="Calibri"/>
          <w:color w:val="000000" w:themeColor="text1"/>
        </w:rPr>
        <w:t>NON aveva infezioni sospette o confermate del cervello o delle meningi;</w:t>
      </w:r>
    </w:p>
    <w:p w14:paraId="19C8F25A" w14:textId="50648181" w:rsidR="7FDD2A1C" w:rsidRDefault="7FDD2A1C" w:rsidP="7B9F4D1F">
      <w:pPr>
        <w:pStyle w:val="ListParagraph"/>
        <w:numPr>
          <w:ilvl w:val="0"/>
          <w:numId w:val="12"/>
        </w:numPr>
        <w:spacing w:line="360" w:lineRule="auto"/>
        <w:rPr>
          <w:rFonts w:ascii="Calibri" w:eastAsia="Calibri" w:hAnsi="Calibri" w:cs="Calibri"/>
          <w:color w:val="000000" w:themeColor="text1"/>
        </w:rPr>
      </w:pPr>
      <w:r w:rsidRPr="7B9F4D1F">
        <w:rPr>
          <w:rFonts w:ascii="Calibri" w:eastAsia="Calibri" w:hAnsi="Calibri" w:cs="Calibri"/>
          <w:color w:val="000000" w:themeColor="text1"/>
        </w:rPr>
        <w:t>NON aveva infezioni attuali o recenti (ultimi tre mesi) da batteri resistenti ai farmaci in studio;</w:t>
      </w:r>
    </w:p>
    <w:p w14:paraId="109E0C9E" w14:textId="79AD7834" w:rsidR="7FDD2A1C" w:rsidRDefault="7FDD2A1C" w:rsidP="7B9F4D1F">
      <w:pPr>
        <w:pStyle w:val="ListParagraph"/>
        <w:numPr>
          <w:ilvl w:val="0"/>
          <w:numId w:val="12"/>
        </w:numPr>
        <w:spacing w:line="360" w:lineRule="auto"/>
        <w:rPr>
          <w:rFonts w:ascii="Calibri" w:eastAsia="Calibri" w:hAnsi="Calibri" w:cs="Calibri"/>
          <w:color w:val="000000" w:themeColor="text1"/>
        </w:rPr>
      </w:pPr>
      <w:r w:rsidRPr="7B9F4D1F">
        <w:rPr>
          <w:rFonts w:ascii="Calibri" w:eastAsia="Calibri" w:hAnsi="Calibri" w:cs="Calibri"/>
          <w:color w:val="000000" w:themeColor="text1"/>
        </w:rPr>
        <w:t>NON era in trattamento con valproato (farmaco tipicamente utilizzato nell’epilessia).</w:t>
      </w:r>
    </w:p>
    <w:p w14:paraId="312B40BA" w14:textId="0E4AFDFB" w:rsidR="7FDD2A1C" w:rsidRDefault="7FDD2A1C" w:rsidP="7B9F4D1F">
      <w:pPr>
        <w:pStyle w:val="ListParagraph"/>
        <w:numPr>
          <w:ilvl w:val="0"/>
          <w:numId w:val="12"/>
        </w:numPr>
        <w:spacing w:line="360" w:lineRule="auto"/>
        <w:rPr>
          <w:rFonts w:ascii="Calibri" w:eastAsia="Calibri" w:hAnsi="Calibri" w:cs="Calibri"/>
          <w:color w:val="000000" w:themeColor="text1"/>
        </w:rPr>
      </w:pPr>
      <w:r w:rsidRPr="7B9F4D1F">
        <w:rPr>
          <w:rFonts w:ascii="Calibri" w:eastAsia="Calibri" w:hAnsi="Calibri" w:cs="Calibri"/>
          <w:color w:val="000000" w:themeColor="text1"/>
        </w:rPr>
        <w:t>NON era incinta.</w:t>
      </w:r>
    </w:p>
    <w:p w14:paraId="2A8550EB" w14:textId="77777777" w:rsidR="007E0F85" w:rsidRPr="00087562" w:rsidRDefault="007E0F85" w:rsidP="7B9F4D1F">
      <w:pPr>
        <w:spacing w:line="360" w:lineRule="auto"/>
        <w:rPr>
          <w:rFonts w:asciiTheme="minorHAnsi" w:hAnsiTheme="minorHAnsi" w:cstheme="minorBidi"/>
          <w:b/>
          <w:bCs/>
          <w:color w:val="000000" w:themeColor="text1"/>
        </w:rPr>
      </w:pPr>
    </w:p>
    <w:p w14:paraId="12638B97" w14:textId="53D79323" w:rsidR="30ABDAA5" w:rsidRDefault="30ABDAA5" w:rsidP="7B9F4D1F">
      <w:pPr>
        <w:spacing w:line="360" w:lineRule="auto"/>
      </w:pPr>
      <w:r w:rsidRPr="7B9F4D1F">
        <w:rPr>
          <w:rFonts w:asciiTheme="minorHAnsi" w:hAnsiTheme="minorHAnsi" w:cstheme="minorBidi"/>
          <w:b/>
          <w:bCs/>
          <w:color w:val="000000" w:themeColor="text1"/>
        </w:rPr>
        <w:t>Interruzione della partecipazione</w:t>
      </w:r>
      <w:bookmarkStart w:id="2" w:name="_Hlk35885034"/>
    </w:p>
    <w:p w14:paraId="536C18CB" w14:textId="7C78324A" w:rsidR="30ABDAA5" w:rsidRDefault="30ABDAA5" w:rsidP="7B9F4D1F">
      <w:pPr>
        <w:spacing w:before="240" w:after="240" w:line="360" w:lineRule="auto"/>
        <w:rPr>
          <w:rFonts w:asciiTheme="minorHAnsi" w:hAnsiTheme="minorHAnsi" w:cstheme="minorBidi"/>
          <w:color w:val="000000" w:themeColor="text1"/>
        </w:rPr>
      </w:pPr>
      <w:r w:rsidRPr="7B9F4D1F">
        <w:rPr>
          <w:rFonts w:asciiTheme="minorHAnsi" w:hAnsiTheme="minorHAnsi" w:cstheme="minorBidi"/>
          <w:color w:val="000000" w:themeColor="text1"/>
        </w:rPr>
        <w:t xml:space="preserve">Può ritirarsi dallo studio in qualsiasi momento senza fornire motivazioni. Questo non influenzerà il rapporto con i medici o il suo trattamento. Lei continuerà a ricevere lo stesso trattamento degli altri pazienti. Anche i suoi medici curanti possono decidere di interrompere la partecipazione; in tal caso ne sarà informato/a. </w:t>
      </w:r>
    </w:p>
    <w:p w14:paraId="1EC1BB71" w14:textId="0D0653D8" w:rsidR="30ABDAA5" w:rsidRDefault="30ABDAA5" w:rsidP="7B9F4D1F">
      <w:pPr>
        <w:spacing w:before="240" w:after="240" w:line="360" w:lineRule="auto"/>
        <w:rPr>
          <w:rFonts w:asciiTheme="minorHAnsi" w:hAnsiTheme="minorHAnsi" w:cstheme="minorBidi"/>
          <w:color w:val="000000" w:themeColor="text1"/>
        </w:rPr>
      </w:pPr>
      <w:r w:rsidRPr="7B9F4D1F">
        <w:rPr>
          <w:rFonts w:asciiTheme="minorHAnsi" w:hAnsiTheme="minorHAnsi" w:cstheme="minorBidi"/>
          <w:color w:val="000000" w:themeColor="text1"/>
        </w:rPr>
        <w:t>Se ritira il suo consenso, il medico responsabile dello studio Le chiederà se permette la continuazione della raccolta dati e del follow-up fino al giorno 180 nonostante l’interruzione del trattamento sperimentale. La revoca del consenso non influirà sulle attività già svolte né sull’utilizzo dei dati ottenuti sulla base del consenso informato prima della sua revoca. Qualora Lei non presti il consenso alla partecipazione allo studio, ha altresì il diritto di opporsi all’utilizzo dei dati raccolti nell’ambito della sua partecipazione alla sperimentazione clinica.</w:t>
      </w:r>
      <w:bookmarkEnd w:id="2"/>
    </w:p>
    <w:p w14:paraId="5D25DDB7" w14:textId="62D1F09E" w:rsidR="64C05BBE" w:rsidRDefault="64C05BBE" w:rsidP="7B9F4D1F">
      <w:pPr>
        <w:spacing w:line="360" w:lineRule="auto"/>
      </w:pPr>
      <w:r w:rsidRPr="7B9F4D1F">
        <w:rPr>
          <w:rFonts w:asciiTheme="minorHAnsi" w:hAnsiTheme="minorHAnsi" w:cstheme="minorBidi"/>
          <w:b/>
          <w:bCs/>
          <w:color w:val="000000" w:themeColor="text1"/>
        </w:rPr>
        <w:t>Possibili svantaggi</w:t>
      </w:r>
    </w:p>
    <w:p w14:paraId="7AD5A4D1" w14:textId="0F3785EA" w:rsidR="64C05BBE" w:rsidRDefault="64C05BBE" w:rsidP="7B9F4D1F">
      <w:pPr>
        <w:spacing w:line="360" w:lineRule="auto"/>
        <w:rPr>
          <w:rFonts w:asciiTheme="minorHAnsi" w:hAnsiTheme="minorHAnsi" w:cstheme="minorBidi"/>
          <w:color w:val="000000" w:themeColor="text1"/>
        </w:rPr>
      </w:pPr>
      <w:r w:rsidRPr="7B9F4D1F">
        <w:rPr>
          <w:rFonts w:asciiTheme="minorHAnsi" w:hAnsiTheme="minorHAnsi" w:cstheme="minorBidi"/>
          <w:color w:val="000000" w:themeColor="text1"/>
        </w:rPr>
        <w:t>I medicinali utilizzati nello studio sono prodotti ampiamente impiegati nella pratica clinica. La loro sicurezza e i relativi effetti indesiderati sono pertanto ben noti. Sebbene tali farmaci siano generalmente considerati sicuri, possono comunque verificarsi reazioni o complicanze inattese in relazione al loro impiego, anche nell’ambito di sperimentazioni cliniche.</w:t>
      </w:r>
    </w:p>
    <w:p w14:paraId="4851F010" w14:textId="77777777" w:rsidR="007E0F85" w:rsidRPr="00087562" w:rsidRDefault="007E0F85" w:rsidP="7B9F4D1F">
      <w:pPr>
        <w:spacing w:line="360" w:lineRule="auto"/>
        <w:rPr>
          <w:rFonts w:asciiTheme="minorHAnsi" w:hAnsiTheme="minorHAnsi" w:cstheme="minorBidi"/>
          <w:color w:val="000000"/>
        </w:rPr>
      </w:pPr>
    </w:p>
    <w:p w14:paraId="0001DA60" w14:textId="52997827" w:rsidR="64C05BBE" w:rsidRDefault="64C05BBE" w:rsidP="7B9F4D1F">
      <w:pPr>
        <w:spacing w:line="360" w:lineRule="auto"/>
        <w:rPr>
          <w:rFonts w:asciiTheme="minorHAnsi" w:hAnsiTheme="minorHAnsi" w:cstheme="minorBidi"/>
          <w:color w:val="000000" w:themeColor="text1"/>
        </w:rPr>
      </w:pPr>
      <w:r w:rsidRPr="7B9F4D1F">
        <w:rPr>
          <w:rFonts w:asciiTheme="minorHAnsi" w:hAnsiTheme="minorHAnsi" w:cstheme="minorBidi"/>
          <w:color w:val="000000" w:themeColor="text1"/>
        </w:rPr>
        <w:t xml:space="preserve">Effetti collaterali, rischi e complicazioni </w:t>
      </w:r>
    </w:p>
    <w:p w14:paraId="32F8FF7B" w14:textId="6C89FE9C" w:rsidR="64C05BBE" w:rsidRDefault="64C05BBE" w:rsidP="7B9F4D1F">
      <w:pPr>
        <w:spacing w:line="360" w:lineRule="auto"/>
      </w:pPr>
      <w:r w:rsidRPr="7B9F4D1F">
        <w:rPr>
          <w:rFonts w:asciiTheme="minorHAnsi" w:hAnsiTheme="minorHAnsi" w:cstheme="minorBidi"/>
          <w:color w:val="000000" w:themeColor="text1"/>
        </w:rPr>
        <w:t xml:space="preserve">Meropenem e piperacillina/tazobactam sono farmaci ampiamente utilizzati e ben conosciuti. Gli effetti collaterali più comuni includono diarrea, dolori addominali, nausea, vomito, prurito e rash </w:t>
      </w:r>
      <w:r w:rsidRPr="7B9F4D1F">
        <w:rPr>
          <w:rFonts w:asciiTheme="minorHAnsi" w:hAnsiTheme="minorHAnsi" w:cstheme="minorBidi"/>
          <w:color w:val="000000" w:themeColor="text1"/>
        </w:rPr>
        <w:lastRenderedPageBreak/>
        <w:t>cutaneo. Effetti gravi sono rari e includono gravi reazioni allergiche, infezioni micotiche, colite e necrolisi epidermica tossica (una grave malattia cutanea con formazione di vesciche e desquamazione della pelle). Possono esserci rischi dello studio ancora non noti; eventuali effetti collaterali imprevisti saranno comunicati immediatamente.</w:t>
      </w:r>
    </w:p>
    <w:p w14:paraId="2213FF31" w14:textId="77777777" w:rsidR="007E0F85" w:rsidRPr="00087562" w:rsidRDefault="007E0F85" w:rsidP="7B9F4D1F">
      <w:pPr>
        <w:autoSpaceDE w:val="0"/>
        <w:autoSpaceDN w:val="0"/>
        <w:adjustRightInd w:val="0"/>
        <w:spacing w:line="360" w:lineRule="auto"/>
        <w:rPr>
          <w:rFonts w:asciiTheme="minorHAnsi" w:eastAsiaTheme="minorEastAsia" w:hAnsiTheme="minorHAnsi" w:cstheme="minorBidi"/>
          <w:b/>
          <w:bCs/>
          <w:color w:val="000000"/>
          <w:lang w:eastAsia="en-US"/>
        </w:rPr>
      </w:pPr>
    </w:p>
    <w:p w14:paraId="24F039CA" w14:textId="4303090E" w:rsidR="64C05BBE" w:rsidRDefault="64C05BBE" w:rsidP="7B9F4D1F">
      <w:pPr>
        <w:spacing w:line="360" w:lineRule="auto"/>
        <w:rPr>
          <w:rFonts w:asciiTheme="minorHAnsi" w:eastAsiaTheme="minorEastAsia" w:hAnsiTheme="minorHAnsi" w:cstheme="minorBidi"/>
          <w:b/>
          <w:bCs/>
          <w:color w:val="000000" w:themeColor="text1"/>
        </w:rPr>
      </w:pPr>
      <w:r w:rsidRPr="7B9F4D1F">
        <w:rPr>
          <w:rFonts w:asciiTheme="minorHAnsi" w:eastAsiaTheme="minorEastAsia" w:hAnsiTheme="minorHAnsi" w:cstheme="minorBidi"/>
          <w:b/>
          <w:bCs/>
          <w:color w:val="000000" w:themeColor="text1"/>
        </w:rPr>
        <w:t xml:space="preserve">Riservatezza  </w:t>
      </w:r>
    </w:p>
    <w:p w14:paraId="2D52FA93" w14:textId="0AE619EF" w:rsidR="00582BF2" w:rsidRPr="00087562" w:rsidRDefault="64C05BBE" w:rsidP="7B9F4D1F">
      <w:pPr>
        <w:spacing w:after="240" w:line="360" w:lineRule="auto"/>
        <w:rPr>
          <w:rFonts w:asciiTheme="minorHAnsi" w:eastAsiaTheme="minorEastAsia" w:hAnsiTheme="minorHAnsi" w:cstheme="minorBidi"/>
          <w:color w:val="000000"/>
          <w:lang w:eastAsia="en-US"/>
        </w:rPr>
      </w:pPr>
      <w:r w:rsidRPr="7B9F4D1F">
        <w:rPr>
          <w:rFonts w:asciiTheme="minorHAnsi" w:eastAsiaTheme="minorEastAsia" w:hAnsiTheme="minorHAnsi" w:cstheme="minorBidi"/>
          <w:color w:val="000000" w:themeColor="text1"/>
        </w:rPr>
        <w:t>Tutte le informazioni saranno trattate in modo confidenziale. Nei rapporti e nelle pubblicazioni Lei rimarrà anonimo/a. L’agenzia danese per i medicinali (Lægemiddelstyrelsen), l’unità di buona pratica clinica (GCP) e il medico responsabile dello studio possono accedere alla sua cartella clinica per verificare il corretto svolgimento dello studio. Tutti sono vincolati al segreto professionale. Il trattamento dei dati personali avverrà nel rispetto del GDPR e della normativa danese sulla protezione dei dati. I dati potranno essere condivisi con altri ricercatori in forma anonimizzata previa approvazione del comitato direttivo dello studio, oppure in forma non anonimizzata previa ottenimento delle necessarie autorizzazioni</w:t>
      </w:r>
      <w:r w:rsidR="007E0F85" w:rsidRPr="7B9F4D1F">
        <w:rPr>
          <w:rFonts w:asciiTheme="minorHAnsi" w:eastAsiaTheme="minorEastAsia" w:hAnsiTheme="minorHAnsi" w:cstheme="minorBidi"/>
          <w:color w:val="000000" w:themeColor="text1"/>
        </w:rPr>
        <w:t>.</w:t>
      </w:r>
    </w:p>
    <w:p w14:paraId="728B162A" w14:textId="53DF9901" w:rsidR="1CCEEA89" w:rsidRDefault="1CCEEA89" w:rsidP="7B9F4D1F">
      <w:pPr>
        <w:spacing w:line="360" w:lineRule="auto"/>
        <w:rPr>
          <w:rFonts w:asciiTheme="minorHAnsi" w:hAnsiTheme="minorHAnsi" w:cstheme="minorBidi"/>
          <w:b/>
          <w:bCs/>
        </w:rPr>
      </w:pPr>
      <w:r w:rsidRPr="7B9F4D1F">
        <w:rPr>
          <w:rFonts w:asciiTheme="minorHAnsi" w:hAnsiTheme="minorHAnsi" w:cstheme="minorBidi"/>
          <w:b/>
          <w:bCs/>
        </w:rPr>
        <w:t xml:space="preserve">Finanziamento </w:t>
      </w:r>
    </w:p>
    <w:p w14:paraId="27C474CB" w14:textId="74DFBD8A" w:rsidR="1CCEEA89" w:rsidRDefault="1CCEEA89" w:rsidP="7B9F4D1F">
      <w:pPr>
        <w:spacing w:line="360" w:lineRule="auto"/>
      </w:pPr>
      <w:r w:rsidRPr="7B9F4D1F">
        <w:rPr>
          <w:rFonts w:asciiTheme="minorHAnsi" w:hAnsiTheme="minorHAnsi" w:cstheme="minorBidi"/>
        </w:rPr>
        <w:t xml:space="preserve">Lo studio è finanziato da sovvenzioni di Danmarks Frie Forskningsfond (4.220.996 DKK), del Comitato di Ricerca presso Rigshospitalet (2.040.000 DKK), del Fondo per la Ricerca Sanitaria della Regione Capitale (1.740.428 DKK), della Beckett Fonden (100.000 DKK), della Læge Inger Goldmanns Fond (100.000 DKK) e della Grosserer Jakob Ehrenreich og Hustru Grete Ehrenreichs Fond (512.000 DKK).  </w:t>
      </w:r>
    </w:p>
    <w:p w14:paraId="5597F02E" w14:textId="1D14CA87" w:rsidR="1CCEEA89" w:rsidRDefault="1CCEEA89" w:rsidP="7B9F4D1F">
      <w:pPr>
        <w:spacing w:line="360" w:lineRule="auto"/>
      </w:pPr>
      <w:r w:rsidRPr="7B9F4D1F">
        <w:rPr>
          <w:rFonts w:asciiTheme="minorHAnsi" w:hAnsiTheme="minorHAnsi" w:cstheme="minorBidi"/>
        </w:rPr>
        <w:t xml:space="preserve">  </w:t>
      </w:r>
    </w:p>
    <w:p w14:paraId="080B70F0" w14:textId="510689DE" w:rsidR="1CCEEA89" w:rsidRDefault="1CCEEA89" w:rsidP="7B9F4D1F">
      <w:pPr>
        <w:spacing w:line="360" w:lineRule="auto"/>
      </w:pPr>
      <w:r w:rsidRPr="7B9F4D1F">
        <w:rPr>
          <w:rFonts w:asciiTheme="minorHAnsi" w:hAnsiTheme="minorHAnsi" w:cstheme="minorBidi"/>
        </w:rPr>
        <w:t xml:space="preserve">Lo studio utilizza infrastrutture e metodologie sviluppate nell’ambito del programma Intensive Care Platform Trial (INCEPT) (www.incept.dk), finanziato da Novo Nordisk Fonden (29.985.000 DKK) e da Sygeforsikringen "danmark" (7.300.000 DKK), e sostenuto dalla Grosserer Jakob Ehrenreich og Hustru Grete Ehrenreichs Fond (200.000 DKK), dalla Dagmar Marshalls Fond (93.516 DKK) e dal Savværksejer Jeppe Juhl og hustru Ovita Juhls Mindelegat (1.000.000 DKK). Gli enti finanziatori non sono stati e non saranno coinvolti nella progettazione, conduzione, analisi o rendicontazione dello studio, né avranno alcun diritto di proprietà sui dati. I suddetti finanziamenti coprono spese fisse quali 1) la remunerazione di ricercatori, infermieri di progetto, analisti dei dati e altro personale direttamente coinvolto nello studio, nonché il compenso dei reparti partecipanti </w:t>
      </w:r>
      <w:r w:rsidRPr="7B9F4D1F">
        <w:rPr>
          <w:rFonts w:asciiTheme="minorHAnsi" w:hAnsiTheme="minorHAnsi" w:cstheme="minorBidi"/>
        </w:rPr>
        <w:lastRenderedPageBreak/>
        <w:t>allo studio; 2) le spese amministrative, comprese quelle relative alla gestione e al monitoraggio dello studio, tra cui gestione dei dati, sorveglianza della sicurezza, autorizzazioni etiche, assicurazioni e altri requisiti regolatori.</w:t>
      </w:r>
    </w:p>
    <w:p w14:paraId="348E8864" w14:textId="77777777" w:rsidR="00087562" w:rsidRPr="00087562" w:rsidRDefault="00087562" w:rsidP="7B9F4D1F">
      <w:pPr>
        <w:spacing w:line="360" w:lineRule="auto"/>
        <w:rPr>
          <w:rFonts w:asciiTheme="minorHAnsi" w:hAnsiTheme="minorHAnsi" w:cstheme="minorBidi"/>
          <w:b/>
          <w:bCs/>
        </w:rPr>
      </w:pPr>
    </w:p>
    <w:p w14:paraId="0AB1B721" w14:textId="73F78399" w:rsidR="1CCEEA89" w:rsidRDefault="1CCEEA89" w:rsidP="7B9F4D1F">
      <w:pPr>
        <w:pStyle w:val="BodyText2"/>
        <w:spacing w:line="360" w:lineRule="auto"/>
        <w:rPr>
          <w:rFonts w:asciiTheme="minorHAnsi" w:hAnsiTheme="minorHAnsi" w:cstheme="minorBidi"/>
          <w:b w:val="0"/>
          <w:bCs w:val="0"/>
          <w:sz w:val="24"/>
          <w:szCs w:val="24"/>
        </w:rPr>
      </w:pPr>
      <w:r w:rsidRPr="7B9F4D1F">
        <w:rPr>
          <w:rFonts w:asciiTheme="minorHAnsi" w:hAnsiTheme="minorHAnsi" w:cstheme="minorBidi"/>
          <w:sz w:val="24"/>
          <w:szCs w:val="24"/>
        </w:rPr>
        <w:t>Assicurazione</w:t>
      </w:r>
      <w:r w:rsidRPr="7B9F4D1F">
        <w:rPr>
          <w:rFonts w:asciiTheme="minorHAnsi" w:hAnsiTheme="minorHAnsi" w:cstheme="minorBidi"/>
          <w:b w:val="0"/>
          <w:bCs w:val="0"/>
          <w:sz w:val="24"/>
          <w:szCs w:val="24"/>
        </w:rPr>
        <w:t xml:space="preserve"> </w:t>
      </w:r>
    </w:p>
    <w:p w14:paraId="6EF69D64" w14:textId="206625C4" w:rsidR="1CCEEA89" w:rsidRDefault="1CCEEA89" w:rsidP="7B9F4D1F">
      <w:pPr>
        <w:pStyle w:val="BodyText2"/>
        <w:spacing w:line="360" w:lineRule="auto"/>
      </w:pPr>
      <w:r w:rsidRPr="7B9F4D1F">
        <w:rPr>
          <w:rFonts w:asciiTheme="minorHAnsi" w:hAnsiTheme="minorHAnsi" w:cstheme="minorBidi"/>
          <w:b w:val="0"/>
          <w:bCs w:val="0"/>
          <w:sz w:val="24"/>
          <w:szCs w:val="24"/>
        </w:rPr>
        <w:t xml:space="preserve">Durante la partecipazione allo studio il suo familiare è coperto/a dall’assicurazione danese per i pazienti (Patienterstatningen). </w:t>
      </w:r>
    </w:p>
    <w:p w14:paraId="3A444FCD" w14:textId="11101372" w:rsidR="1CCEEA89" w:rsidRDefault="1CCEEA89" w:rsidP="7B9F4D1F">
      <w:pPr>
        <w:pStyle w:val="BodyText2"/>
        <w:spacing w:line="360" w:lineRule="auto"/>
      </w:pPr>
      <w:r w:rsidRPr="7B9F4D1F">
        <w:rPr>
          <w:rFonts w:asciiTheme="minorHAnsi" w:hAnsiTheme="minorHAnsi" w:cstheme="minorBidi"/>
          <w:b w:val="0"/>
          <w:bCs w:val="0"/>
          <w:sz w:val="24"/>
          <w:szCs w:val="24"/>
        </w:rPr>
        <w:t xml:space="preserve"> </w:t>
      </w:r>
    </w:p>
    <w:p w14:paraId="76414021" w14:textId="3F85B0C0" w:rsidR="1CCEEA89" w:rsidRDefault="1CCEEA89" w:rsidP="7B9F4D1F">
      <w:pPr>
        <w:pStyle w:val="BodyText2"/>
        <w:spacing w:line="360" w:lineRule="auto"/>
      </w:pPr>
      <w:r w:rsidRPr="7B9F4D1F">
        <w:rPr>
          <w:rFonts w:asciiTheme="minorHAnsi" w:hAnsiTheme="minorHAnsi" w:cstheme="minorBidi"/>
          <w:b w:val="0"/>
          <w:bCs w:val="0"/>
          <w:sz w:val="24"/>
          <w:szCs w:val="24"/>
        </w:rPr>
        <w:t xml:space="preserve"> </w:t>
      </w:r>
    </w:p>
    <w:p w14:paraId="522A9E60" w14:textId="30CE6C33" w:rsidR="1CCEEA89" w:rsidRDefault="1CCEEA89" w:rsidP="7B9F4D1F">
      <w:pPr>
        <w:pStyle w:val="BodyText2"/>
        <w:spacing w:line="360" w:lineRule="auto"/>
      </w:pPr>
      <w:r w:rsidRPr="7B9F4D1F">
        <w:rPr>
          <w:rFonts w:asciiTheme="minorHAnsi" w:hAnsiTheme="minorHAnsi" w:cstheme="minorBidi"/>
          <w:sz w:val="24"/>
          <w:szCs w:val="24"/>
        </w:rPr>
        <w:t>Accesso ai risultati</w:t>
      </w:r>
      <w:r w:rsidRPr="7B9F4D1F">
        <w:rPr>
          <w:rFonts w:asciiTheme="minorHAnsi" w:hAnsiTheme="minorHAnsi" w:cstheme="minorBidi"/>
          <w:b w:val="0"/>
          <w:bCs w:val="0"/>
          <w:sz w:val="24"/>
          <w:szCs w:val="24"/>
        </w:rPr>
        <w:t xml:space="preserve"> </w:t>
      </w:r>
    </w:p>
    <w:p w14:paraId="065006C8" w14:textId="5EDADB01" w:rsidR="1CCEEA89" w:rsidRDefault="1CCEEA89" w:rsidP="7B9F4D1F">
      <w:pPr>
        <w:pStyle w:val="BodyText2"/>
        <w:spacing w:line="360" w:lineRule="auto"/>
      </w:pPr>
      <w:r w:rsidRPr="7B9F4D1F">
        <w:rPr>
          <w:rFonts w:asciiTheme="minorHAnsi" w:hAnsiTheme="minorHAnsi" w:cstheme="minorBidi"/>
          <w:b w:val="0"/>
          <w:bCs w:val="0"/>
          <w:sz w:val="24"/>
          <w:szCs w:val="24"/>
        </w:rPr>
        <w:t xml:space="preserve">Al termine dello studio, i risultati saranno pubblicati su una rivista scientifica internazionale. Inoltre, un riassunto dei risultati dello studio, comprensivo di una versione in linguaggio semplice, sarà pubblicato nel database dell’UE (euclinicaltrials.eu). Se desidera ricevere informazioni sui risultati del progetto, può contattare i sottoscritti. </w:t>
      </w:r>
    </w:p>
    <w:p w14:paraId="73CA4159" w14:textId="5B72FCA7" w:rsidR="1CCEEA89" w:rsidRDefault="1CCEEA89" w:rsidP="7B9F4D1F">
      <w:pPr>
        <w:pStyle w:val="BodyText2"/>
        <w:spacing w:line="360" w:lineRule="auto"/>
      </w:pPr>
      <w:r w:rsidRPr="7B9F4D1F">
        <w:rPr>
          <w:rFonts w:asciiTheme="minorHAnsi" w:hAnsiTheme="minorHAnsi" w:cstheme="minorBidi"/>
          <w:b w:val="0"/>
          <w:bCs w:val="0"/>
          <w:sz w:val="24"/>
          <w:szCs w:val="24"/>
        </w:rPr>
        <w:t xml:space="preserve"> </w:t>
      </w:r>
    </w:p>
    <w:p w14:paraId="200D1D07" w14:textId="03186203" w:rsidR="1CCEEA89" w:rsidRDefault="1CCEEA89" w:rsidP="7B9F4D1F">
      <w:pPr>
        <w:pStyle w:val="BodyText2"/>
        <w:spacing w:line="360" w:lineRule="auto"/>
        <w:rPr>
          <w:rFonts w:asciiTheme="minorHAnsi" w:hAnsiTheme="minorHAnsi" w:cstheme="minorBidi"/>
          <w:sz w:val="24"/>
          <w:szCs w:val="24"/>
        </w:rPr>
      </w:pPr>
      <w:r w:rsidRPr="7B9F4D1F">
        <w:rPr>
          <w:rFonts w:asciiTheme="minorHAnsi" w:hAnsiTheme="minorHAnsi" w:cstheme="minorBidi"/>
          <w:sz w:val="24"/>
          <w:szCs w:val="24"/>
        </w:rPr>
        <w:t xml:space="preserve">Contatti </w:t>
      </w:r>
    </w:p>
    <w:p w14:paraId="5764BDC2" w14:textId="621D83D6" w:rsidR="1CCEEA89" w:rsidRDefault="1CCEEA89" w:rsidP="7B9F4D1F">
      <w:pPr>
        <w:pStyle w:val="BodyText2"/>
        <w:spacing w:line="360" w:lineRule="auto"/>
      </w:pPr>
      <w:r w:rsidRPr="7B9F4D1F">
        <w:rPr>
          <w:rFonts w:asciiTheme="minorHAnsi" w:hAnsiTheme="minorHAnsi" w:cstheme="minorBidi"/>
          <w:b w:val="0"/>
          <w:bCs w:val="0"/>
          <w:sz w:val="24"/>
          <w:szCs w:val="24"/>
        </w:rPr>
        <w:t>Ci auguriamo che queste informazioni siano sufficienti per consentirLe una decisione consapevole. Per ulteriori chiarimenti può contattare il medico responsabile dello studio. La invitiamo inoltre a leggere il documento allegato “I Suoi diritti come partecipante a una sperimentazione con farmaci” del Comitato Nazionale di Etica Scientifica. Rimaniamo a disposizione per qualsiasi domanda.</w:t>
      </w:r>
    </w:p>
    <w:p w14:paraId="5914E55E" w14:textId="4CBF43F8" w:rsidR="7B9F4D1F" w:rsidRDefault="7B9F4D1F" w:rsidP="7B9F4D1F">
      <w:pPr>
        <w:pStyle w:val="BodyText2"/>
        <w:spacing w:line="360" w:lineRule="auto"/>
        <w:rPr>
          <w:rFonts w:asciiTheme="minorHAnsi" w:hAnsiTheme="minorHAnsi" w:cstheme="minorBidi"/>
          <w:b w:val="0"/>
          <w:bCs w:val="0"/>
          <w:sz w:val="24"/>
          <w:szCs w:val="24"/>
        </w:rPr>
      </w:pPr>
    </w:p>
    <w:p w14:paraId="73513ADB" w14:textId="42F06DA1" w:rsidR="7B9F4D1F" w:rsidRDefault="7B9F4D1F" w:rsidP="7B9F4D1F">
      <w:pPr>
        <w:pStyle w:val="BodyText2"/>
        <w:spacing w:line="360" w:lineRule="auto"/>
        <w:rPr>
          <w:rFonts w:asciiTheme="minorHAnsi" w:hAnsiTheme="minorHAnsi" w:cstheme="minorBidi"/>
          <w:b w:val="0"/>
          <w:bCs w:val="0"/>
          <w:sz w:val="24"/>
          <w:szCs w:val="24"/>
        </w:rPr>
      </w:pPr>
    </w:p>
    <w:p w14:paraId="3DBE0474" w14:textId="1E0B1AC5" w:rsidR="7B9F4D1F" w:rsidRDefault="7B9F4D1F" w:rsidP="7B9F4D1F">
      <w:pPr>
        <w:pStyle w:val="BodyText2"/>
        <w:spacing w:line="360" w:lineRule="auto"/>
        <w:rPr>
          <w:rFonts w:asciiTheme="minorHAnsi" w:hAnsiTheme="minorHAnsi" w:cstheme="minorBidi"/>
          <w:b w:val="0"/>
          <w:bCs w:val="0"/>
          <w:sz w:val="24"/>
          <w:szCs w:val="24"/>
        </w:rPr>
      </w:pPr>
    </w:p>
    <w:p w14:paraId="0B708C39" w14:textId="30D0EC5E" w:rsidR="7B9F4D1F" w:rsidRDefault="7B9F4D1F" w:rsidP="7B9F4D1F">
      <w:pPr>
        <w:pStyle w:val="BodyText2"/>
        <w:spacing w:line="360" w:lineRule="auto"/>
        <w:rPr>
          <w:rFonts w:asciiTheme="minorHAnsi" w:hAnsiTheme="minorHAnsi" w:cstheme="minorBidi"/>
          <w:b w:val="0"/>
          <w:bCs w:val="0"/>
          <w:sz w:val="24"/>
          <w:szCs w:val="24"/>
        </w:rPr>
      </w:pPr>
    </w:p>
    <w:p w14:paraId="5B61C484" w14:textId="5221DDD2" w:rsidR="7B9F4D1F" w:rsidRDefault="7B9F4D1F" w:rsidP="7B9F4D1F">
      <w:pPr>
        <w:pStyle w:val="BodyText2"/>
        <w:spacing w:line="360" w:lineRule="auto"/>
        <w:rPr>
          <w:rFonts w:asciiTheme="minorHAnsi" w:hAnsiTheme="minorHAnsi" w:cstheme="minorBidi"/>
          <w:b w:val="0"/>
          <w:bCs w:val="0"/>
          <w:sz w:val="24"/>
          <w:szCs w:val="24"/>
        </w:rPr>
      </w:pPr>
    </w:p>
    <w:p w14:paraId="75D71AC1" w14:textId="4CAB1BB3" w:rsidR="7B9F4D1F" w:rsidRDefault="7B9F4D1F" w:rsidP="7B9F4D1F">
      <w:pPr>
        <w:pStyle w:val="BodyText2"/>
        <w:spacing w:line="360" w:lineRule="auto"/>
        <w:rPr>
          <w:rFonts w:asciiTheme="minorHAnsi" w:hAnsiTheme="minorHAnsi" w:cstheme="minorBidi"/>
          <w:b w:val="0"/>
          <w:bCs w:val="0"/>
          <w:sz w:val="24"/>
          <w:szCs w:val="24"/>
        </w:rPr>
      </w:pPr>
    </w:p>
    <w:p w14:paraId="07905E59" w14:textId="56D140F1" w:rsidR="7B9F4D1F" w:rsidRDefault="7B9F4D1F" w:rsidP="7B9F4D1F">
      <w:pPr>
        <w:pStyle w:val="BodyText2"/>
        <w:spacing w:line="360" w:lineRule="auto"/>
        <w:rPr>
          <w:rFonts w:asciiTheme="minorHAnsi" w:hAnsiTheme="minorHAnsi" w:cstheme="minorBidi"/>
          <w:b w:val="0"/>
          <w:bCs w:val="0"/>
          <w:sz w:val="24"/>
          <w:szCs w:val="24"/>
        </w:rPr>
      </w:pPr>
    </w:p>
    <w:p w14:paraId="40B19102" w14:textId="5DE9DF82" w:rsidR="7B9F4D1F" w:rsidRDefault="7B9F4D1F" w:rsidP="7B9F4D1F">
      <w:pPr>
        <w:pStyle w:val="BodyText2"/>
        <w:spacing w:line="360" w:lineRule="auto"/>
        <w:rPr>
          <w:rFonts w:asciiTheme="minorHAnsi" w:hAnsiTheme="minorHAnsi" w:cstheme="minorBidi"/>
          <w:b w:val="0"/>
          <w:bCs w:val="0"/>
          <w:sz w:val="24"/>
          <w:szCs w:val="24"/>
        </w:rPr>
      </w:pPr>
    </w:p>
    <w:p w14:paraId="4E18F2D2" w14:textId="77777777" w:rsidR="00DC266E" w:rsidRPr="00087562" w:rsidRDefault="00DC266E" w:rsidP="7B9F4D1F">
      <w:pPr>
        <w:spacing w:after="200" w:line="360" w:lineRule="auto"/>
        <w:rPr>
          <w:rFonts w:asciiTheme="minorHAnsi" w:hAnsiTheme="minorHAnsi" w:cstheme="minorBidi"/>
        </w:rPr>
      </w:pPr>
      <w:bookmarkStart w:id="3" w:name="_Hlk35885694"/>
      <w:bookmarkStart w:id="4" w:name="_Hlk35885575"/>
    </w:p>
    <w:bookmarkEnd w:id="3"/>
    <w:bookmarkEnd w:id="4"/>
    <w:p w14:paraId="36697BA8" w14:textId="59641173" w:rsidR="1CCEEA89" w:rsidRDefault="1CCEEA89" w:rsidP="7B9F4D1F">
      <w:pPr>
        <w:pStyle w:val="BodyText2"/>
        <w:spacing w:line="360" w:lineRule="auto"/>
        <w:rPr>
          <w:rFonts w:asciiTheme="minorHAnsi" w:hAnsiTheme="minorHAnsi" w:cstheme="minorBidi"/>
          <w:b w:val="0"/>
          <w:bCs w:val="0"/>
          <w:sz w:val="24"/>
          <w:szCs w:val="24"/>
        </w:rPr>
        <w:sectPr w:rsidR="1CCEEA89" w:rsidSect="00234C26">
          <w:headerReference w:type="even" r:id="rId8"/>
          <w:headerReference w:type="default" r:id="rId9"/>
          <w:footerReference w:type="even" r:id="rId10"/>
          <w:footerReference w:type="default" r:id="rId11"/>
          <w:headerReference w:type="first" r:id="rId12"/>
          <w:footerReference w:type="first" r:id="rId13"/>
          <w:type w:val="continuous"/>
          <w:pgSz w:w="11906" w:h="16838"/>
          <w:pgMar w:top="1701" w:right="1134" w:bottom="1701" w:left="1134" w:header="708" w:footer="708" w:gutter="0"/>
          <w:cols w:space="708"/>
          <w:docGrid w:linePitch="360"/>
        </w:sectPr>
      </w:pPr>
      <w:r w:rsidRPr="7B9F4D1F">
        <w:rPr>
          <w:rFonts w:asciiTheme="minorHAnsi" w:hAnsiTheme="minorHAnsi" w:cstheme="minorBidi"/>
          <w:b w:val="0"/>
          <w:bCs w:val="0"/>
          <w:sz w:val="24"/>
          <w:szCs w:val="24"/>
        </w:rPr>
        <w:lastRenderedPageBreak/>
        <w:t xml:space="preserve">Per conto del comitato direttivo dello studio EMPRESS,  </w:t>
      </w:r>
      <w:bookmarkStart w:id="5" w:name="_Hlk192136788"/>
    </w:p>
    <w:p w14:paraId="626A20CE" w14:textId="77777777" w:rsidR="009A37B2" w:rsidRPr="00087562" w:rsidRDefault="009A37B2" w:rsidP="7B9F4D1F">
      <w:pPr>
        <w:pStyle w:val="BodyText2"/>
        <w:spacing w:line="360" w:lineRule="auto"/>
        <w:rPr>
          <w:rFonts w:asciiTheme="minorHAnsi" w:hAnsiTheme="minorHAnsi" w:cstheme="minorBidi"/>
          <w:b w:val="0"/>
          <w:bCs w:val="0"/>
          <w:sz w:val="24"/>
          <w:szCs w:val="24"/>
        </w:rPr>
      </w:pPr>
    </w:p>
    <w:p w14:paraId="5EBA47A5" w14:textId="63C3DC08" w:rsidR="7B9F4D1F" w:rsidRDefault="7B9F4D1F" w:rsidP="7B9F4D1F">
      <w:pPr>
        <w:pStyle w:val="BodyText2"/>
        <w:spacing w:line="360" w:lineRule="auto"/>
        <w:rPr>
          <w:rFonts w:asciiTheme="minorHAnsi" w:hAnsiTheme="minorHAnsi" w:cstheme="minorBidi"/>
          <w:b w:val="0"/>
          <w:bCs w:val="0"/>
          <w:sz w:val="24"/>
          <w:szCs w:val="24"/>
        </w:rPr>
      </w:pPr>
    </w:p>
    <w:p w14:paraId="7B445689" w14:textId="67941E1D" w:rsidR="7B9F4D1F" w:rsidRDefault="7B9F4D1F" w:rsidP="7B9F4D1F">
      <w:pPr>
        <w:pStyle w:val="BodyText2"/>
        <w:spacing w:line="360" w:lineRule="auto"/>
        <w:rPr>
          <w:rFonts w:asciiTheme="minorHAnsi" w:hAnsiTheme="minorHAnsi" w:cstheme="minorBidi"/>
          <w:b w:val="0"/>
          <w:bCs w:val="0"/>
          <w:sz w:val="24"/>
          <w:szCs w:val="24"/>
        </w:rPr>
      </w:pPr>
    </w:p>
    <w:p w14:paraId="71DF1661" w14:textId="19A0DBBA" w:rsidR="00E2520A" w:rsidRPr="00087562" w:rsidRDefault="00DE2D70" w:rsidP="7B9F4D1F">
      <w:pPr>
        <w:pStyle w:val="BodyText2"/>
        <w:spacing w:line="360" w:lineRule="auto"/>
        <w:rPr>
          <w:rFonts w:asciiTheme="minorHAnsi" w:hAnsiTheme="minorHAnsi" w:cstheme="minorBidi"/>
          <w:b w:val="0"/>
          <w:bCs w:val="0"/>
          <w:sz w:val="20"/>
          <w:szCs w:val="20"/>
        </w:rPr>
      </w:pPr>
      <w:r w:rsidRPr="7B9F4D1F">
        <w:rPr>
          <w:rFonts w:asciiTheme="minorHAnsi" w:hAnsiTheme="minorHAnsi" w:cstheme="minorBidi"/>
          <w:b w:val="0"/>
          <w:bCs w:val="0"/>
          <w:sz w:val="24"/>
          <w:szCs w:val="24"/>
        </w:rPr>
        <w:t>Nick Meier</w:t>
      </w:r>
      <w:r w:rsidR="00E2520A" w:rsidRPr="7B9F4D1F">
        <w:rPr>
          <w:rFonts w:asciiTheme="minorHAnsi" w:hAnsiTheme="minorHAnsi" w:cstheme="minorBidi"/>
          <w:b w:val="0"/>
          <w:bCs w:val="0"/>
          <w:sz w:val="24"/>
          <w:szCs w:val="24"/>
        </w:rPr>
        <w:t xml:space="preserve">, </w:t>
      </w:r>
      <w:r w:rsidR="00087562" w:rsidRPr="7B9F4D1F">
        <w:rPr>
          <w:rFonts w:asciiTheme="minorHAnsi" w:hAnsiTheme="minorHAnsi" w:cstheme="minorBidi"/>
          <w:b w:val="0"/>
          <w:bCs w:val="0"/>
          <w:i/>
          <w:iCs/>
          <w:sz w:val="24"/>
          <w:szCs w:val="24"/>
        </w:rPr>
        <w:t>coordinating</w:t>
      </w:r>
      <w:r w:rsidR="00E2520A" w:rsidRPr="7B9F4D1F">
        <w:rPr>
          <w:rFonts w:asciiTheme="minorHAnsi" w:hAnsiTheme="minorHAnsi" w:cstheme="minorBidi"/>
          <w:b w:val="0"/>
          <w:bCs w:val="0"/>
          <w:i/>
          <w:iCs/>
          <w:sz w:val="24"/>
          <w:szCs w:val="24"/>
        </w:rPr>
        <w:t xml:space="preserve"> investigator</w:t>
      </w:r>
      <w:r>
        <w:br/>
      </w:r>
      <w:r w:rsidR="00087562" w:rsidRPr="7B9F4D1F">
        <w:rPr>
          <w:rFonts w:asciiTheme="minorHAnsi" w:hAnsiTheme="minorHAnsi" w:cstheme="minorBidi"/>
          <w:b w:val="0"/>
          <w:bCs w:val="0"/>
          <w:sz w:val="20"/>
          <w:szCs w:val="20"/>
        </w:rPr>
        <w:t>MD</w:t>
      </w:r>
      <w:r w:rsidRPr="7B9F4D1F">
        <w:rPr>
          <w:rFonts w:asciiTheme="minorHAnsi" w:hAnsiTheme="minorHAnsi" w:cstheme="minorBidi"/>
          <w:b w:val="0"/>
          <w:bCs w:val="0"/>
          <w:sz w:val="20"/>
          <w:szCs w:val="20"/>
        </w:rPr>
        <w:t xml:space="preserve">, </w:t>
      </w:r>
      <w:r w:rsidR="00087562" w:rsidRPr="7B9F4D1F">
        <w:rPr>
          <w:rFonts w:asciiTheme="minorHAnsi" w:hAnsiTheme="minorHAnsi" w:cstheme="minorBidi"/>
          <w:b w:val="0"/>
          <w:bCs w:val="0"/>
          <w:sz w:val="20"/>
          <w:szCs w:val="20"/>
        </w:rPr>
        <w:t>PhD</w:t>
      </w:r>
      <w:r w:rsidRPr="7B9F4D1F">
        <w:rPr>
          <w:rFonts w:asciiTheme="minorHAnsi" w:hAnsiTheme="minorHAnsi" w:cstheme="minorBidi"/>
          <w:b w:val="0"/>
          <w:bCs w:val="0"/>
          <w:sz w:val="20"/>
          <w:szCs w:val="20"/>
        </w:rPr>
        <w:t>-</w:t>
      </w:r>
      <w:r w:rsidR="00087562" w:rsidRPr="7B9F4D1F">
        <w:rPr>
          <w:rFonts w:asciiTheme="minorHAnsi" w:hAnsiTheme="minorHAnsi" w:cstheme="minorBidi"/>
          <w:b w:val="0"/>
          <w:bCs w:val="0"/>
          <w:sz w:val="20"/>
          <w:szCs w:val="20"/>
        </w:rPr>
        <w:t>student</w:t>
      </w:r>
      <w:r>
        <w:br/>
      </w:r>
      <w:r w:rsidR="00087562" w:rsidRPr="7B9F4D1F">
        <w:rPr>
          <w:rFonts w:asciiTheme="minorHAnsi" w:hAnsiTheme="minorHAnsi" w:cstheme="minorBidi"/>
          <w:b w:val="0"/>
          <w:bCs w:val="0"/>
          <w:sz w:val="20"/>
          <w:szCs w:val="20"/>
        </w:rPr>
        <w:t>Department of Intensive Care, 4131</w:t>
      </w:r>
      <w:r w:rsidRPr="7B9F4D1F">
        <w:rPr>
          <w:rFonts w:asciiTheme="minorHAnsi" w:hAnsiTheme="minorHAnsi" w:cstheme="minorBidi"/>
          <w:b w:val="0"/>
          <w:bCs w:val="0"/>
          <w:sz w:val="20"/>
          <w:szCs w:val="20"/>
        </w:rPr>
        <w:t>, Rigshospitalet</w:t>
      </w:r>
    </w:p>
    <w:p w14:paraId="114227AE" w14:textId="1DA09D20" w:rsidR="00DE2D70" w:rsidRPr="003232F4" w:rsidRDefault="00DE2D70" w:rsidP="7B9F4D1F">
      <w:pPr>
        <w:pStyle w:val="BodyText2"/>
        <w:spacing w:line="360" w:lineRule="auto"/>
        <w:rPr>
          <w:rFonts w:asciiTheme="minorHAnsi" w:hAnsiTheme="minorHAnsi" w:cstheme="minorBidi"/>
          <w:b w:val="0"/>
          <w:bCs w:val="0"/>
          <w:sz w:val="20"/>
          <w:szCs w:val="20"/>
          <w:lang w:val="de-DE"/>
        </w:rPr>
      </w:pPr>
      <w:r w:rsidRPr="7B9F4D1F">
        <w:rPr>
          <w:rFonts w:asciiTheme="minorHAnsi" w:hAnsiTheme="minorHAnsi" w:cstheme="minorBidi"/>
          <w:b w:val="0"/>
          <w:bCs w:val="0"/>
          <w:sz w:val="20"/>
          <w:szCs w:val="20"/>
        </w:rPr>
        <w:t xml:space="preserve">Blegdamsvej 9, 2100 </w:t>
      </w:r>
      <w:r w:rsidR="00087562" w:rsidRPr="7B9F4D1F">
        <w:rPr>
          <w:rFonts w:asciiTheme="minorHAnsi" w:hAnsiTheme="minorHAnsi" w:cstheme="minorBidi"/>
          <w:b w:val="0"/>
          <w:bCs w:val="0"/>
          <w:sz w:val="20"/>
          <w:szCs w:val="20"/>
        </w:rPr>
        <w:t>Copenhagen</w:t>
      </w:r>
      <w:r w:rsidRPr="7B9F4D1F">
        <w:rPr>
          <w:rFonts w:asciiTheme="minorHAnsi" w:hAnsiTheme="minorHAnsi" w:cstheme="minorBidi"/>
          <w:b w:val="0"/>
          <w:bCs w:val="0"/>
          <w:sz w:val="20"/>
          <w:szCs w:val="20"/>
        </w:rPr>
        <w:t xml:space="preserve"> Ø </w:t>
      </w:r>
      <w:r>
        <w:br/>
      </w:r>
      <w:r w:rsidRPr="7B9F4D1F">
        <w:rPr>
          <w:rFonts w:asciiTheme="minorHAnsi" w:hAnsiTheme="minorHAnsi" w:cstheme="minorBidi"/>
          <w:b w:val="0"/>
          <w:bCs w:val="0"/>
          <w:sz w:val="20"/>
          <w:szCs w:val="20"/>
        </w:rPr>
        <w:t>E-mail: nick.meier@regionh.dk</w:t>
      </w:r>
    </w:p>
    <w:p w14:paraId="3CB942CC" w14:textId="3E7A0F7E" w:rsidR="00DC49EB" w:rsidRPr="003232F4" w:rsidRDefault="00E2520A" w:rsidP="7B9F4D1F">
      <w:pPr>
        <w:pStyle w:val="BodyText2"/>
        <w:spacing w:line="360" w:lineRule="auto"/>
        <w:rPr>
          <w:rFonts w:asciiTheme="minorHAnsi" w:hAnsiTheme="minorHAnsi" w:cstheme="minorBidi"/>
          <w:b w:val="0"/>
          <w:bCs w:val="0"/>
          <w:sz w:val="24"/>
          <w:szCs w:val="24"/>
          <w:lang w:val="de-DE"/>
        </w:rPr>
      </w:pPr>
      <w:r w:rsidRPr="7B9F4D1F">
        <w:rPr>
          <w:rFonts w:asciiTheme="minorHAnsi" w:hAnsiTheme="minorHAnsi" w:cstheme="minorBidi"/>
          <w:b w:val="0"/>
          <w:bCs w:val="0"/>
          <w:sz w:val="24"/>
          <w:szCs w:val="24"/>
        </w:rPr>
        <w:t xml:space="preserve"> </w:t>
      </w:r>
      <w:r>
        <w:br/>
      </w:r>
    </w:p>
    <w:p w14:paraId="20CD5CC7" w14:textId="77777777" w:rsidR="009A37B2" w:rsidRPr="003232F4" w:rsidRDefault="009A37B2" w:rsidP="7B9F4D1F">
      <w:pPr>
        <w:pStyle w:val="BodyText2"/>
        <w:spacing w:line="360" w:lineRule="auto"/>
        <w:rPr>
          <w:rFonts w:asciiTheme="minorHAnsi" w:hAnsiTheme="minorHAnsi" w:cstheme="minorBidi"/>
          <w:b w:val="0"/>
          <w:bCs w:val="0"/>
          <w:sz w:val="24"/>
          <w:szCs w:val="24"/>
          <w:lang w:val="de-DE"/>
        </w:rPr>
      </w:pPr>
    </w:p>
    <w:p w14:paraId="29901217" w14:textId="77777777" w:rsidR="009A37B2" w:rsidRPr="003232F4" w:rsidRDefault="009A37B2" w:rsidP="7B9F4D1F">
      <w:pPr>
        <w:pStyle w:val="BodyText2"/>
        <w:spacing w:line="360" w:lineRule="auto"/>
        <w:rPr>
          <w:rFonts w:asciiTheme="minorHAnsi" w:hAnsiTheme="minorHAnsi" w:cstheme="minorBidi"/>
          <w:b w:val="0"/>
          <w:bCs w:val="0"/>
          <w:sz w:val="24"/>
          <w:szCs w:val="24"/>
          <w:lang w:val="de-DE"/>
        </w:rPr>
      </w:pPr>
    </w:p>
    <w:p w14:paraId="78D90506" w14:textId="77777777" w:rsidR="009A37B2" w:rsidRPr="003232F4" w:rsidRDefault="009A37B2" w:rsidP="7B9F4D1F">
      <w:pPr>
        <w:pStyle w:val="BodyText2"/>
        <w:spacing w:line="360" w:lineRule="auto"/>
        <w:rPr>
          <w:rFonts w:asciiTheme="minorHAnsi" w:hAnsiTheme="minorHAnsi" w:cstheme="minorBidi"/>
          <w:b w:val="0"/>
          <w:bCs w:val="0"/>
          <w:sz w:val="24"/>
          <w:szCs w:val="24"/>
          <w:lang w:val="de-DE"/>
        </w:rPr>
      </w:pPr>
    </w:p>
    <w:p w14:paraId="17947CE3" w14:textId="77777777" w:rsidR="009A37B2" w:rsidRPr="003232F4" w:rsidRDefault="009A37B2" w:rsidP="7B9F4D1F">
      <w:pPr>
        <w:pStyle w:val="BodyText2"/>
        <w:spacing w:line="360" w:lineRule="auto"/>
        <w:rPr>
          <w:rFonts w:asciiTheme="minorHAnsi" w:hAnsiTheme="minorHAnsi" w:cstheme="minorBidi"/>
          <w:b w:val="0"/>
          <w:bCs w:val="0"/>
          <w:sz w:val="24"/>
          <w:szCs w:val="24"/>
          <w:lang w:val="de-DE"/>
        </w:rPr>
      </w:pPr>
    </w:p>
    <w:p w14:paraId="2013A98E" w14:textId="0A9B6CA4" w:rsidR="00D43889" w:rsidRPr="00087562" w:rsidRDefault="00D43889" w:rsidP="7B9F4D1F">
      <w:pPr>
        <w:pStyle w:val="BodyText2"/>
        <w:spacing w:line="360" w:lineRule="auto"/>
        <w:rPr>
          <w:rFonts w:asciiTheme="minorHAnsi" w:hAnsiTheme="minorHAnsi" w:cstheme="minorBidi"/>
          <w:b w:val="0"/>
          <w:bCs w:val="0"/>
          <w:sz w:val="24"/>
          <w:szCs w:val="24"/>
        </w:rPr>
      </w:pPr>
      <w:r w:rsidRPr="7B9F4D1F">
        <w:rPr>
          <w:rFonts w:asciiTheme="minorHAnsi" w:hAnsiTheme="minorHAnsi" w:cstheme="minorBidi"/>
          <w:b w:val="0"/>
          <w:bCs w:val="0"/>
          <w:sz w:val="24"/>
          <w:szCs w:val="24"/>
        </w:rPr>
        <w:t xml:space="preserve">Morten Hylander Møller, </w:t>
      </w:r>
      <w:r w:rsidRPr="7B9F4D1F">
        <w:rPr>
          <w:rFonts w:asciiTheme="minorHAnsi" w:hAnsiTheme="minorHAnsi" w:cstheme="minorBidi"/>
          <w:b w:val="0"/>
          <w:bCs w:val="0"/>
          <w:i/>
          <w:iCs/>
          <w:sz w:val="24"/>
          <w:szCs w:val="24"/>
        </w:rPr>
        <w:t>sponsor</w:t>
      </w:r>
    </w:p>
    <w:p w14:paraId="3A056989" w14:textId="1700A7D2" w:rsidR="00E2520A" w:rsidRPr="00087562" w:rsidRDefault="00E2520A" w:rsidP="7B9F4D1F">
      <w:pPr>
        <w:pStyle w:val="BodyText2"/>
        <w:spacing w:line="360" w:lineRule="auto"/>
        <w:rPr>
          <w:rFonts w:asciiTheme="minorHAnsi" w:hAnsiTheme="minorHAnsi" w:cstheme="minorBidi"/>
          <w:b w:val="0"/>
          <w:bCs w:val="0"/>
          <w:sz w:val="20"/>
          <w:szCs w:val="20"/>
        </w:rPr>
      </w:pPr>
      <w:r w:rsidRPr="7B9F4D1F">
        <w:rPr>
          <w:rFonts w:asciiTheme="minorHAnsi" w:hAnsiTheme="minorHAnsi" w:cstheme="minorBidi"/>
          <w:b w:val="0"/>
          <w:bCs w:val="0"/>
          <w:sz w:val="20"/>
          <w:szCs w:val="20"/>
        </w:rPr>
        <w:t xml:space="preserve">Professor, </w:t>
      </w:r>
      <w:r w:rsidR="00087562" w:rsidRPr="7B9F4D1F">
        <w:rPr>
          <w:rFonts w:asciiTheme="minorHAnsi" w:hAnsiTheme="minorHAnsi" w:cstheme="minorBidi"/>
          <w:b w:val="0"/>
          <w:bCs w:val="0"/>
          <w:sz w:val="20"/>
          <w:szCs w:val="20"/>
        </w:rPr>
        <w:t>chief physician</w:t>
      </w:r>
      <w:r w:rsidR="001C4D88" w:rsidRPr="7B9F4D1F">
        <w:rPr>
          <w:rFonts w:asciiTheme="minorHAnsi" w:hAnsiTheme="minorHAnsi" w:cstheme="minorBidi"/>
          <w:b w:val="0"/>
          <w:bCs w:val="0"/>
          <w:sz w:val="20"/>
          <w:szCs w:val="20"/>
        </w:rPr>
        <w:t>, PhD</w:t>
      </w:r>
    </w:p>
    <w:p w14:paraId="43BD995D" w14:textId="77777777" w:rsidR="00087562" w:rsidRPr="00087562" w:rsidRDefault="00087562" w:rsidP="7B9F4D1F">
      <w:pPr>
        <w:pStyle w:val="BodyText2"/>
        <w:spacing w:line="360" w:lineRule="auto"/>
        <w:rPr>
          <w:rFonts w:asciiTheme="minorHAnsi" w:hAnsiTheme="minorHAnsi" w:cstheme="minorBidi"/>
          <w:b w:val="0"/>
          <w:bCs w:val="0"/>
          <w:sz w:val="20"/>
          <w:szCs w:val="20"/>
        </w:rPr>
      </w:pPr>
      <w:r w:rsidRPr="7B9F4D1F">
        <w:rPr>
          <w:rFonts w:asciiTheme="minorHAnsi" w:hAnsiTheme="minorHAnsi" w:cstheme="minorBidi"/>
          <w:b w:val="0"/>
          <w:bCs w:val="0"/>
          <w:sz w:val="20"/>
          <w:szCs w:val="20"/>
        </w:rPr>
        <w:t>Department of Intensive Care, 4131, Rigshospitalet</w:t>
      </w:r>
    </w:p>
    <w:p w14:paraId="4D5DCCA1" w14:textId="5BB1625F" w:rsidR="00E2520A" w:rsidRPr="00087562" w:rsidRDefault="00087562" w:rsidP="7B9F4D1F">
      <w:pPr>
        <w:pStyle w:val="BodyText2"/>
        <w:spacing w:line="360" w:lineRule="auto"/>
        <w:rPr>
          <w:rFonts w:asciiTheme="minorHAnsi" w:hAnsiTheme="minorHAnsi" w:cstheme="minorBidi"/>
          <w:b w:val="0"/>
          <w:bCs w:val="0"/>
          <w:sz w:val="20"/>
          <w:szCs w:val="20"/>
        </w:rPr>
      </w:pPr>
      <w:r w:rsidRPr="7B9F4D1F">
        <w:rPr>
          <w:rFonts w:asciiTheme="minorHAnsi" w:hAnsiTheme="minorHAnsi" w:cstheme="minorBidi"/>
          <w:b w:val="0"/>
          <w:bCs w:val="0"/>
          <w:sz w:val="20"/>
          <w:szCs w:val="20"/>
        </w:rPr>
        <w:t>Blegdamsvej 9, 2100 Copenhagen Ø</w:t>
      </w:r>
    </w:p>
    <w:tbl>
      <w:tblPr>
        <w:tblW w:w="4597" w:type="dxa"/>
        <w:tblBorders>
          <w:top w:val="nil"/>
          <w:left w:val="nil"/>
          <w:bottom w:val="nil"/>
          <w:right w:val="nil"/>
        </w:tblBorders>
        <w:tblLayout w:type="fixed"/>
        <w:tblLook w:val="0000" w:firstRow="0" w:lastRow="0" w:firstColumn="0" w:lastColumn="0" w:noHBand="0" w:noVBand="0"/>
      </w:tblPr>
      <w:tblGrid>
        <w:gridCol w:w="4597"/>
      </w:tblGrid>
      <w:tr w:rsidR="00E2520A" w:rsidRPr="00A24507" w14:paraId="2804D942" w14:textId="77777777" w:rsidTr="7B9F4D1F">
        <w:trPr>
          <w:trHeight w:val="392"/>
        </w:trPr>
        <w:tc>
          <w:tcPr>
            <w:tcW w:w="4597" w:type="dxa"/>
          </w:tcPr>
          <w:p w14:paraId="22801DD2" w14:textId="219C34ED" w:rsidR="00DC49EB" w:rsidRPr="003232F4" w:rsidRDefault="00E2520A" w:rsidP="7B9F4D1F">
            <w:pPr>
              <w:autoSpaceDE w:val="0"/>
              <w:autoSpaceDN w:val="0"/>
              <w:adjustRightInd w:val="0"/>
              <w:spacing w:line="360" w:lineRule="auto"/>
              <w:ind w:left="-113"/>
              <w:rPr>
                <w:rFonts w:asciiTheme="minorHAnsi" w:eastAsiaTheme="minorEastAsia" w:hAnsiTheme="minorHAnsi" w:cstheme="minorBidi"/>
                <w:color w:val="000000"/>
                <w:sz w:val="20"/>
                <w:szCs w:val="20"/>
                <w:lang w:val="de-DE" w:eastAsia="en-US"/>
              </w:rPr>
            </w:pPr>
            <w:r w:rsidRPr="7B9F4D1F">
              <w:rPr>
                <w:rFonts w:asciiTheme="minorHAnsi" w:hAnsiTheme="minorHAnsi" w:cstheme="minorBidi"/>
                <w:sz w:val="20"/>
                <w:szCs w:val="20"/>
              </w:rPr>
              <w:t xml:space="preserve">E-mail: </w:t>
            </w:r>
            <w:r w:rsidR="00D43889" w:rsidRPr="7B9F4D1F">
              <w:rPr>
                <w:rFonts w:asciiTheme="minorHAnsi" w:hAnsiTheme="minorHAnsi" w:cstheme="minorBidi"/>
                <w:sz w:val="20"/>
                <w:szCs w:val="20"/>
              </w:rPr>
              <w:t>morten.hylander.moeller@regionh.dk</w:t>
            </w:r>
          </w:p>
        </w:tc>
      </w:tr>
      <w:bookmarkEnd w:id="5"/>
    </w:tbl>
    <w:p w14:paraId="0BA3B0E8" w14:textId="5D0F75E4" w:rsidR="006149D7" w:rsidRPr="003232F4" w:rsidRDefault="006149D7" w:rsidP="7B9F4D1F">
      <w:pPr>
        <w:pStyle w:val="BodyText2"/>
        <w:spacing w:line="360" w:lineRule="auto"/>
        <w:rPr>
          <w:rFonts w:asciiTheme="minorHAnsi" w:hAnsiTheme="minorHAnsi" w:cstheme="minorBidi"/>
          <w:b w:val="0"/>
          <w:bCs w:val="0"/>
          <w:sz w:val="20"/>
          <w:szCs w:val="20"/>
          <w:lang w:val="de-DE"/>
        </w:rPr>
      </w:pPr>
    </w:p>
    <w:p w14:paraId="10916AE9" w14:textId="78FE2A24" w:rsidR="00F73E7B" w:rsidRPr="003232F4" w:rsidRDefault="00F73E7B" w:rsidP="7B9F4D1F">
      <w:pPr>
        <w:pStyle w:val="BodyText2"/>
        <w:spacing w:line="360" w:lineRule="auto"/>
        <w:rPr>
          <w:rFonts w:asciiTheme="minorHAnsi" w:hAnsiTheme="minorHAnsi" w:cstheme="minorBidi"/>
          <w:b w:val="0"/>
          <w:bCs w:val="0"/>
          <w:sz w:val="20"/>
          <w:szCs w:val="20"/>
          <w:lang w:val="de-DE"/>
        </w:rPr>
      </w:pPr>
    </w:p>
    <w:p w14:paraId="6C2A5741" w14:textId="7DDA80AC" w:rsidR="00BC232C" w:rsidRPr="003232F4" w:rsidRDefault="00BC232C" w:rsidP="7B9F4D1F">
      <w:pPr>
        <w:pStyle w:val="BodyText2"/>
        <w:spacing w:line="360" w:lineRule="auto"/>
        <w:rPr>
          <w:rFonts w:asciiTheme="minorHAnsi" w:hAnsiTheme="minorHAnsi" w:cstheme="minorBidi"/>
          <w:b w:val="0"/>
          <w:bCs w:val="0"/>
          <w:sz w:val="20"/>
          <w:szCs w:val="20"/>
          <w:lang w:val="de-DE"/>
        </w:rPr>
        <w:sectPr w:rsidR="00BC232C" w:rsidRPr="003232F4" w:rsidSect="00234C26">
          <w:type w:val="continuous"/>
          <w:pgSz w:w="11906" w:h="16838"/>
          <w:pgMar w:top="1701" w:right="1134" w:bottom="1701" w:left="1134" w:header="708" w:footer="708" w:gutter="0"/>
          <w:cols w:num="2" w:space="708"/>
          <w:docGrid w:linePitch="360"/>
        </w:sectPr>
      </w:pPr>
    </w:p>
    <w:p w14:paraId="56138024" w14:textId="4A885E8D" w:rsidR="00AF07F1" w:rsidRPr="003232F4" w:rsidRDefault="00AF07F1" w:rsidP="7B9F4D1F">
      <w:pPr>
        <w:spacing w:line="360" w:lineRule="auto"/>
        <w:rPr>
          <w:rFonts w:asciiTheme="minorHAnsi" w:hAnsiTheme="minorHAnsi" w:cstheme="minorBidi"/>
          <w:sz w:val="22"/>
          <w:szCs w:val="22"/>
          <w:lang w:val="de-DE"/>
        </w:rPr>
      </w:pPr>
    </w:p>
    <w:sectPr w:rsidR="00AF07F1" w:rsidRPr="003232F4" w:rsidSect="00234C26">
      <w:type w:val="continuous"/>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AD4E7" w14:textId="77777777" w:rsidR="00BF4B6D" w:rsidRDefault="00BF4B6D" w:rsidP="00AF07F1">
      <w:r>
        <w:separator/>
      </w:r>
    </w:p>
  </w:endnote>
  <w:endnote w:type="continuationSeparator" w:id="0">
    <w:p w14:paraId="7521A0A7" w14:textId="77777777" w:rsidR="00BF4B6D" w:rsidRDefault="00BF4B6D" w:rsidP="00AF0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905C8" w14:textId="77777777" w:rsidR="00A81529" w:rsidRDefault="00A815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99A64" w14:textId="5DC921DD" w:rsidR="00A24507" w:rsidRPr="00757EB4" w:rsidRDefault="00757EB4" w:rsidP="7B9F4D1F">
    <w:pPr>
      <w:pStyle w:val="Footer"/>
      <w:jc w:val="center"/>
      <w:rPr>
        <w:rFonts w:ascii="Aptos" w:eastAsiaTheme="minorEastAsia" w:hAnsi="Aptos" w:cs="Calibri"/>
        <w:color w:val="000000"/>
        <w:sz w:val="18"/>
        <w:szCs w:val="18"/>
        <w:lang w:val="en-GB" w:eastAsia="en-US"/>
      </w:rPr>
    </w:pPr>
    <w:r>
      <w:rPr>
        <w:rFonts w:ascii="Aptos" w:eastAsiaTheme="minorEastAsia" w:hAnsi="Aptos" w:cs="Calibri"/>
        <w:b/>
        <w:bCs/>
        <w:color w:val="000000" w:themeColor="text1"/>
        <w:sz w:val="18"/>
        <w:szCs w:val="18"/>
      </w:rPr>
      <w:t>Translated</w:t>
    </w:r>
    <w:r w:rsidR="7B9F4D1F" w:rsidRPr="005632B4">
      <w:rPr>
        <w:rFonts w:ascii="Aptos" w:eastAsiaTheme="minorEastAsia" w:hAnsi="Aptos" w:cs="Calibri"/>
        <w:b/>
        <w:bCs/>
        <w:color w:val="000000" w:themeColor="text1"/>
        <w:sz w:val="18"/>
        <w:szCs w:val="18"/>
      </w:rPr>
      <w:t>:</w:t>
    </w:r>
    <w:r w:rsidR="0049406A">
      <w:rPr>
        <w:rFonts w:ascii="Aptos" w:eastAsiaTheme="minorEastAsia" w:hAnsi="Aptos" w:cs="Calibri"/>
        <w:b/>
        <w:bCs/>
        <w:color w:val="000000" w:themeColor="text1"/>
        <w:sz w:val="18"/>
        <w:szCs w:val="18"/>
      </w:rPr>
      <w:t xml:space="preserve"> </w:t>
    </w:r>
    <w:r w:rsidR="0049406A" w:rsidRPr="0049406A">
      <w:rPr>
        <w:rFonts w:ascii="Aptos" w:eastAsiaTheme="minorEastAsia" w:hAnsi="Aptos" w:cs="Calibri"/>
        <w:color w:val="000000" w:themeColor="text1"/>
        <w:sz w:val="18"/>
        <w:szCs w:val="18"/>
      </w:rPr>
      <w:t xml:space="preserve">EMPRESS, </w:t>
    </w:r>
    <w:r>
      <w:rPr>
        <w:rFonts w:ascii="Aptos" w:eastAsiaTheme="minorEastAsia" w:hAnsi="Aptos" w:cs="Calibri"/>
        <w:color w:val="000000" w:themeColor="text1"/>
        <w:sz w:val="18"/>
        <w:szCs w:val="18"/>
      </w:rPr>
      <w:t>I</w:t>
    </w:r>
    <w:r w:rsidR="7B9F4D1F" w:rsidRPr="005632B4">
      <w:rPr>
        <w:rFonts w:ascii="Aptos" w:eastAsiaTheme="minorEastAsia" w:hAnsi="Aptos" w:cs="Calibri"/>
        <w:color w:val="000000" w:themeColor="text1"/>
        <w:sz w:val="18"/>
        <w:szCs w:val="18"/>
      </w:rPr>
      <w:t>nformation</w:t>
    </w:r>
    <w:r>
      <w:rPr>
        <w:rFonts w:ascii="Aptos" w:eastAsiaTheme="minorEastAsia" w:hAnsi="Aptos" w:cs="Calibri"/>
        <w:color w:val="000000" w:themeColor="text1"/>
        <w:sz w:val="18"/>
        <w:szCs w:val="18"/>
      </w:rPr>
      <w:t xml:space="preserve"> sheet -</w:t>
    </w:r>
    <w:r w:rsidR="7B9F4D1F" w:rsidRPr="005632B4">
      <w:rPr>
        <w:rFonts w:ascii="Aptos" w:eastAsiaTheme="minorEastAsia" w:hAnsi="Aptos" w:cs="Calibri"/>
        <w:color w:val="000000" w:themeColor="text1"/>
        <w:sz w:val="18"/>
        <w:szCs w:val="18"/>
      </w:rPr>
      <w:t xml:space="preserve"> patient – version 2.1, 2025-09-25 </w:t>
    </w:r>
  </w:p>
  <w:p w14:paraId="3013C255" w14:textId="3CECBEB1" w:rsidR="00087562" w:rsidRPr="005632B4" w:rsidRDefault="00757EB4" w:rsidP="00A24507">
    <w:pPr>
      <w:pStyle w:val="Footer"/>
      <w:jc w:val="center"/>
      <w:rPr>
        <w:rFonts w:ascii="Aptos" w:hAnsi="Aptos"/>
        <w:sz w:val="18"/>
        <w:szCs w:val="18"/>
        <w:lang w:val="da-DK"/>
      </w:rPr>
    </w:pPr>
    <w:r>
      <w:rPr>
        <w:rFonts w:ascii="Aptos" w:eastAsiaTheme="minorEastAsia" w:hAnsi="Aptos" w:cs="Calibri"/>
        <w:b/>
        <w:bCs/>
        <w:color w:val="000000" w:themeColor="text1"/>
        <w:sz w:val="18"/>
        <w:szCs w:val="18"/>
      </w:rPr>
      <w:t>Language</w:t>
    </w:r>
    <w:r w:rsidR="7B9F4D1F" w:rsidRPr="005632B4">
      <w:rPr>
        <w:rFonts w:ascii="Aptos" w:eastAsiaTheme="minorEastAsia" w:hAnsi="Aptos" w:cs="Calibri"/>
        <w:b/>
        <w:bCs/>
        <w:color w:val="000000" w:themeColor="text1"/>
        <w:sz w:val="18"/>
        <w:szCs w:val="18"/>
      </w:rPr>
      <w:t xml:space="preserve">: </w:t>
    </w:r>
    <w:r w:rsidR="7B9F4D1F" w:rsidRPr="005632B4">
      <w:rPr>
        <w:rFonts w:ascii="Aptos" w:eastAsiaTheme="minorEastAsia" w:hAnsi="Aptos" w:cs="Calibri"/>
        <w:color w:val="000000" w:themeColor="text1"/>
        <w:sz w:val="18"/>
        <w:szCs w:val="18"/>
      </w:rPr>
      <w:t>Ita</w:t>
    </w:r>
    <w:r>
      <w:rPr>
        <w:rFonts w:ascii="Aptos" w:eastAsiaTheme="minorEastAsia" w:hAnsi="Aptos" w:cs="Calibri"/>
        <w:color w:val="000000" w:themeColor="text1"/>
        <w:sz w:val="18"/>
        <w:szCs w:val="18"/>
      </w:rPr>
      <w:t>lian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69E84" w14:textId="77777777" w:rsidR="00A81529" w:rsidRDefault="00A815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A2315" w14:textId="77777777" w:rsidR="00BF4B6D" w:rsidRDefault="00BF4B6D" w:rsidP="00AF07F1">
      <w:r>
        <w:separator/>
      </w:r>
    </w:p>
  </w:footnote>
  <w:footnote w:type="continuationSeparator" w:id="0">
    <w:p w14:paraId="6EED3A02" w14:textId="77777777" w:rsidR="00BF4B6D" w:rsidRDefault="00BF4B6D" w:rsidP="00AF07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55F85" w14:textId="77777777" w:rsidR="00A81529" w:rsidRDefault="00A815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84C5D" w14:textId="16E655EE" w:rsidR="004C3804" w:rsidRPr="00E36091" w:rsidRDefault="00E36091" w:rsidP="00FB736C">
    <w:pPr>
      <w:pStyle w:val="Default"/>
      <w:jc w:val="center"/>
    </w:pPr>
    <w:r w:rsidRPr="00C71AFF">
      <w:rPr>
        <w:rFonts w:asciiTheme="minorHAnsi" w:hAnsiTheme="minorHAnsi" w:cstheme="minorHAnsi"/>
        <w:b/>
        <w:noProof/>
        <w:sz w:val="44"/>
        <w:szCs w:val="44"/>
      </w:rPr>
      <w:drawing>
        <wp:anchor distT="0" distB="0" distL="114300" distR="114300" simplePos="0" relativeHeight="251658240" behindDoc="0" locked="0" layoutInCell="1" allowOverlap="1" wp14:anchorId="456E0A01" wp14:editId="373387B9">
          <wp:simplePos x="0" y="0"/>
          <wp:positionH relativeFrom="column">
            <wp:posOffset>2154680</wp:posOffset>
          </wp:positionH>
          <wp:positionV relativeFrom="paragraph">
            <wp:posOffset>-113237</wp:posOffset>
          </wp:positionV>
          <wp:extent cx="1810139" cy="587319"/>
          <wp:effectExtent l="0" t="0" r="0" b="3810"/>
          <wp:wrapThrough wrapText="bothSides">
            <wp:wrapPolygon edited="0">
              <wp:start x="0" y="0"/>
              <wp:lineTo x="0" y="21039"/>
              <wp:lineTo x="21373" y="21039"/>
              <wp:lineTo x="21373" y="0"/>
              <wp:lineTo x="0" y="0"/>
            </wp:wrapPolygon>
          </wp:wrapThrough>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rotWithShape="1">
                  <a:blip r:embed="rId1">
                    <a:extLst>
                      <a:ext uri="{28A0092B-C50C-407E-A947-70E740481C1C}">
                        <a14:useLocalDpi xmlns:a14="http://schemas.microsoft.com/office/drawing/2010/main" val="0"/>
                      </a:ext>
                    </a:extLst>
                  </a:blip>
                  <a:srcRect r="34323" b="62092"/>
                  <a:stretch/>
                </pic:blipFill>
                <pic:spPr bwMode="auto">
                  <a:xfrm>
                    <a:off x="0" y="0"/>
                    <a:ext cx="1810139" cy="5873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7BDD0" w14:textId="77777777" w:rsidR="00A81529" w:rsidRDefault="00A815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7980B5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C20B69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D853D1"/>
    <w:multiLevelType w:val="hybridMultilevel"/>
    <w:tmpl w:val="9EA6CEC8"/>
    <w:lvl w:ilvl="0" w:tplc="04060001">
      <w:start w:val="1"/>
      <w:numFmt w:val="bullet"/>
      <w:lvlText w:val=""/>
      <w:lvlJc w:val="left"/>
      <w:pPr>
        <w:ind w:left="765" w:hanging="360"/>
      </w:pPr>
      <w:rPr>
        <w:rFonts w:ascii="Symbol" w:hAnsi="Symbol"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3" w15:restartNumberingAfterBreak="0">
    <w:nsid w:val="07061147"/>
    <w:multiLevelType w:val="hybridMultilevel"/>
    <w:tmpl w:val="8228CFF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1CB586A"/>
    <w:multiLevelType w:val="hybridMultilevel"/>
    <w:tmpl w:val="E30277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90C2683"/>
    <w:multiLevelType w:val="hybridMultilevel"/>
    <w:tmpl w:val="B94297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D364850"/>
    <w:multiLevelType w:val="hybridMultilevel"/>
    <w:tmpl w:val="7690E41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2563E1BC"/>
    <w:multiLevelType w:val="hybridMultilevel"/>
    <w:tmpl w:val="60AE8EE6"/>
    <w:lvl w:ilvl="0" w:tplc="7B8E5BBC">
      <w:start w:val="1"/>
      <w:numFmt w:val="bullet"/>
      <w:lvlText w:val=""/>
      <w:lvlJc w:val="left"/>
      <w:pPr>
        <w:ind w:left="720" w:hanging="360"/>
      </w:pPr>
      <w:rPr>
        <w:rFonts w:ascii="Symbol" w:hAnsi="Symbol" w:hint="default"/>
      </w:rPr>
    </w:lvl>
    <w:lvl w:ilvl="1" w:tplc="9C34ECBE">
      <w:start w:val="1"/>
      <w:numFmt w:val="bullet"/>
      <w:lvlText w:val="o"/>
      <w:lvlJc w:val="left"/>
      <w:pPr>
        <w:ind w:left="1440" w:hanging="360"/>
      </w:pPr>
      <w:rPr>
        <w:rFonts w:ascii="Courier New" w:hAnsi="Courier New" w:hint="default"/>
      </w:rPr>
    </w:lvl>
    <w:lvl w:ilvl="2" w:tplc="ED905140">
      <w:start w:val="1"/>
      <w:numFmt w:val="bullet"/>
      <w:lvlText w:val=""/>
      <w:lvlJc w:val="left"/>
      <w:pPr>
        <w:ind w:left="2160" w:hanging="360"/>
      </w:pPr>
      <w:rPr>
        <w:rFonts w:ascii="Wingdings" w:hAnsi="Wingdings" w:hint="default"/>
      </w:rPr>
    </w:lvl>
    <w:lvl w:ilvl="3" w:tplc="8146CA06">
      <w:start w:val="1"/>
      <w:numFmt w:val="bullet"/>
      <w:lvlText w:val=""/>
      <w:lvlJc w:val="left"/>
      <w:pPr>
        <w:ind w:left="2880" w:hanging="360"/>
      </w:pPr>
      <w:rPr>
        <w:rFonts w:ascii="Symbol" w:hAnsi="Symbol" w:hint="default"/>
      </w:rPr>
    </w:lvl>
    <w:lvl w:ilvl="4" w:tplc="034E2EFC">
      <w:start w:val="1"/>
      <w:numFmt w:val="bullet"/>
      <w:lvlText w:val="o"/>
      <w:lvlJc w:val="left"/>
      <w:pPr>
        <w:ind w:left="3600" w:hanging="360"/>
      </w:pPr>
      <w:rPr>
        <w:rFonts w:ascii="Courier New" w:hAnsi="Courier New" w:hint="default"/>
      </w:rPr>
    </w:lvl>
    <w:lvl w:ilvl="5" w:tplc="E7567554">
      <w:start w:val="1"/>
      <w:numFmt w:val="bullet"/>
      <w:lvlText w:val=""/>
      <w:lvlJc w:val="left"/>
      <w:pPr>
        <w:ind w:left="4320" w:hanging="360"/>
      </w:pPr>
      <w:rPr>
        <w:rFonts w:ascii="Wingdings" w:hAnsi="Wingdings" w:hint="default"/>
      </w:rPr>
    </w:lvl>
    <w:lvl w:ilvl="6" w:tplc="84F67790">
      <w:start w:val="1"/>
      <w:numFmt w:val="bullet"/>
      <w:lvlText w:val=""/>
      <w:lvlJc w:val="left"/>
      <w:pPr>
        <w:ind w:left="5040" w:hanging="360"/>
      </w:pPr>
      <w:rPr>
        <w:rFonts w:ascii="Symbol" w:hAnsi="Symbol" w:hint="default"/>
      </w:rPr>
    </w:lvl>
    <w:lvl w:ilvl="7" w:tplc="49B890B8">
      <w:start w:val="1"/>
      <w:numFmt w:val="bullet"/>
      <w:lvlText w:val="o"/>
      <w:lvlJc w:val="left"/>
      <w:pPr>
        <w:ind w:left="5760" w:hanging="360"/>
      </w:pPr>
      <w:rPr>
        <w:rFonts w:ascii="Courier New" w:hAnsi="Courier New" w:hint="default"/>
      </w:rPr>
    </w:lvl>
    <w:lvl w:ilvl="8" w:tplc="77961404">
      <w:start w:val="1"/>
      <w:numFmt w:val="bullet"/>
      <w:lvlText w:val=""/>
      <w:lvlJc w:val="left"/>
      <w:pPr>
        <w:ind w:left="6480" w:hanging="360"/>
      </w:pPr>
      <w:rPr>
        <w:rFonts w:ascii="Wingdings" w:hAnsi="Wingdings" w:hint="default"/>
      </w:rPr>
    </w:lvl>
  </w:abstractNum>
  <w:abstractNum w:abstractNumId="8" w15:restartNumberingAfterBreak="0">
    <w:nsid w:val="48D67641"/>
    <w:multiLevelType w:val="hybridMultilevel"/>
    <w:tmpl w:val="CCB25C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4A15C28B"/>
    <w:multiLevelType w:val="hybridMultilevel"/>
    <w:tmpl w:val="139243B0"/>
    <w:lvl w:ilvl="0" w:tplc="2FDA280C">
      <w:start w:val="1"/>
      <w:numFmt w:val="bullet"/>
      <w:lvlText w:val=""/>
      <w:lvlJc w:val="left"/>
      <w:pPr>
        <w:ind w:left="720" w:hanging="360"/>
      </w:pPr>
      <w:rPr>
        <w:rFonts w:ascii="Symbol" w:hAnsi="Symbol" w:hint="default"/>
      </w:rPr>
    </w:lvl>
    <w:lvl w:ilvl="1" w:tplc="9C9EF604">
      <w:start w:val="1"/>
      <w:numFmt w:val="bullet"/>
      <w:lvlText w:val="o"/>
      <w:lvlJc w:val="left"/>
      <w:pPr>
        <w:ind w:left="1440" w:hanging="360"/>
      </w:pPr>
      <w:rPr>
        <w:rFonts w:ascii="Courier New" w:hAnsi="Courier New" w:hint="default"/>
      </w:rPr>
    </w:lvl>
    <w:lvl w:ilvl="2" w:tplc="94A026C2">
      <w:start w:val="1"/>
      <w:numFmt w:val="bullet"/>
      <w:lvlText w:val=""/>
      <w:lvlJc w:val="left"/>
      <w:pPr>
        <w:ind w:left="2160" w:hanging="360"/>
      </w:pPr>
      <w:rPr>
        <w:rFonts w:ascii="Wingdings" w:hAnsi="Wingdings" w:hint="default"/>
      </w:rPr>
    </w:lvl>
    <w:lvl w:ilvl="3" w:tplc="36D03186">
      <w:start w:val="1"/>
      <w:numFmt w:val="bullet"/>
      <w:lvlText w:val=""/>
      <w:lvlJc w:val="left"/>
      <w:pPr>
        <w:ind w:left="2880" w:hanging="360"/>
      </w:pPr>
      <w:rPr>
        <w:rFonts w:ascii="Symbol" w:hAnsi="Symbol" w:hint="default"/>
      </w:rPr>
    </w:lvl>
    <w:lvl w:ilvl="4" w:tplc="70BC3D56">
      <w:start w:val="1"/>
      <w:numFmt w:val="bullet"/>
      <w:lvlText w:val="o"/>
      <w:lvlJc w:val="left"/>
      <w:pPr>
        <w:ind w:left="3600" w:hanging="360"/>
      </w:pPr>
      <w:rPr>
        <w:rFonts w:ascii="Courier New" w:hAnsi="Courier New" w:hint="default"/>
      </w:rPr>
    </w:lvl>
    <w:lvl w:ilvl="5" w:tplc="5C5E01AE">
      <w:start w:val="1"/>
      <w:numFmt w:val="bullet"/>
      <w:lvlText w:val=""/>
      <w:lvlJc w:val="left"/>
      <w:pPr>
        <w:ind w:left="4320" w:hanging="360"/>
      </w:pPr>
      <w:rPr>
        <w:rFonts w:ascii="Wingdings" w:hAnsi="Wingdings" w:hint="default"/>
      </w:rPr>
    </w:lvl>
    <w:lvl w:ilvl="6" w:tplc="BCFCA374">
      <w:start w:val="1"/>
      <w:numFmt w:val="bullet"/>
      <w:lvlText w:val=""/>
      <w:lvlJc w:val="left"/>
      <w:pPr>
        <w:ind w:left="5040" w:hanging="360"/>
      </w:pPr>
      <w:rPr>
        <w:rFonts w:ascii="Symbol" w:hAnsi="Symbol" w:hint="default"/>
      </w:rPr>
    </w:lvl>
    <w:lvl w:ilvl="7" w:tplc="1EF86026">
      <w:start w:val="1"/>
      <w:numFmt w:val="bullet"/>
      <w:lvlText w:val="o"/>
      <w:lvlJc w:val="left"/>
      <w:pPr>
        <w:ind w:left="5760" w:hanging="360"/>
      </w:pPr>
      <w:rPr>
        <w:rFonts w:ascii="Courier New" w:hAnsi="Courier New" w:hint="default"/>
      </w:rPr>
    </w:lvl>
    <w:lvl w:ilvl="8" w:tplc="278EC1FA">
      <w:start w:val="1"/>
      <w:numFmt w:val="bullet"/>
      <w:lvlText w:val=""/>
      <w:lvlJc w:val="left"/>
      <w:pPr>
        <w:ind w:left="6480" w:hanging="360"/>
      </w:pPr>
      <w:rPr>
        <w:rFonts w:ascii="Wingdings" w:hAnsi="Wingdings" w:hint="default"/>
      </w:rPr>
    </w:lvl>
  </w:abstractNum>
  <w:abstractNum w:abstractNumId="10" w15:restartNumberingAfterBreak="0">
    <w:nsid w:val="6CC57DF3"/>
    <w:multiLevelType w:val="hybridMultilevel"/>
    <w:tmpl w:val="3A400C96"/>
    <w:lvl w:ilvl="0" w:tplc="0272211C">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1" w15:restartNumberingAfterBreak="0">
    <w:nsid w:val="6F7F3942"/>
    <w:multiLevelType w:val="hybridMultilevel"/>
    <w:tmpl w:val="F3582F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9AE4958"/>
    <w:multiLevelType w:val="hybridMultilevel"/>
    <w:tmpl w:val="ED9E4A50"/>
    <w:lvl w:ilvl="0" w:tplc="04060001">
      <w:start w:val="1"/>
      <w:numFmt w:val="bullet"/>
      <w:lvlText w:val=""/>
      <w:lvlJc w:val="left"/>
      <w:pPr>
        <w:tabs>
          <w:tab w:val="num" w:pos="720"/>
        </w:tabs>
        <w:ind w:left="720" w:hanging="360"/>
      </w:pPr>
      <w:rPr>
        <w:rFonts w:ascii="Symbol" w:hAnsi="Symbol" w:cs="Wingdings" w:hint="default"/>
      </w:rPr>
    </w:lvl>
    <w:lvl w:ilvl="1" w:tplc="04060003">
      <w:start w:val="1"/>
      <w:numFmt w:val="bullet"/>
      <w:lvlText w:val="o"/>
      <w:lvlJc w:val="left"/>
      <w:pPr>
        <w:tabs>
          <w:tab w:val="num" w:pos="1440"/>
        </w:tabs>
        <w:ind w:left="1440" w:hanging="360"/>
      </w:pPr>
      <w:rPr>
        <w:rFonts w:ascii="Courier New" w:hAnsi="Courier New" w:cs="Calibri" w:hint="default"/>
      </w:rPr>
    </w:lvl>
    <w:lvl w:ilvl="2" w:tplc="04060005">
      <w:start w:val="1"/>
      <w:numFmt w:val="bullet"/>
      <w:lvlText w:val=""/>
      <w:lvlJc w:val="left"/>
      <w:pPr>
        <w:tabs>
          <w:tab w:val="num" w:pos="2160"/>
        </w:tabs>
        <w:ind w:left="2160" w:hanging="360"/>
      </w:pPr>
      <w:rPr>
        <w:rFonts w:ascii="Wingdings" w:hAnsi="Wingdings" w:cs="Wingdings" w:hint="default"/>
      </w:rPr>
    </w:lvl>
    <w:lvl w:ilvl="3" w:tplc="04060001">
      <w:start w:val="1"/>
      <w:numFmt w:val="bullet"/>
      <w:lvlText w:val=""/>
      <w:lvlJc w:val="left"/>
      <w:pPr>
        <w:tabs>
          <w:tab w:val="num" w:pos="2880"/>
        </w:tabs>
        <w:ind w:left="2880" w:hanging="360"/>
      </w:pPr>
      <w:rPr>
        <w:rFonts w:ascii="Symbol" w:hAnsi="Symbol" w:cs="Wingdings" w:hint="default"/>
      </w:rPr>
    </w:lvl>
    <w:lvl w:ilvl="4" w:tplc="04060003">
      <w:start w:val="1"/>
      <w:numFmt w:val="bullet"/>
      <w:lvlText w:val="o"/>
      <w:lvlJc w:val="left"/>
      <w:pPr>
        <w:tabs>
          <w:tab w:val="num" w:pos="3600"/>
        </w:tabs>
        <w:ind w:left="3600" w:hanging="360"/>
      </w:pPr>
      <w:rPr>
        <w:rFonts w:ascii="Courier New" w:hAnsi="Courier New" w:cs="Calibri" w:hint="default"/>
      </w:rPr>
    </w:lvl>
    <w:lvl w:ilvl="5" w:tplc="04060005">
      <w:start w:val="1"/>
      <w:numFmt w:val="bullet"/>
      <w:lvlText w:val=""/>
      <w:lvlJc w:val="left"/>
      <w:pPr>
        <w:tabs>
          <w:tab w:val="num" w:pos="4320"/>
        </w:tabs>
        <w:ind w:left="4320" w:hanging="360"/>
      </w:pPr>
      <w:rPr>
        <w:rFonts w:ascii="Wingdings" w:hAnsi="Wingdings" w:cs="Wingdings" w:hint="default"/>
      </w:rPr>
    </w:lvl>
    <w:lvl w:ilvl="6" w:tplc="04060001">
      <w:start w:val="1"/>
      <w:numFmt w:val="bullet"/>
      <w:lvlText w:val=""/>
      <w:lvlJc w:val="left"/>
      <w:pPr>
        <w:tabs>
          <w:tab w:val="num" w:pos="5040"/>
        </w:tabs>
        <w:ind w:left="5040" w:hanging="360"/>
      </w:pPr>
      <w:rPr>
        <w:rFonts w:ascii="Symbol" w:hAnsi="Symbol" w:cs="Wingdings" w:hint="default"/>
      </w:rPr>
    </w:lvl>
    <w:lvl w:ilvl="7" w:tplc="04060003">
      <w:start w:val="1"/>
      <w:numFmt w:val="bullet"/>
      <w:lvlText w:val="o"/>
      <w:lvlJc w:val="left"/>
      <w:pPr>
        <w:tabs>
          <w:tab w:val="num" w:pos="5760"/>
        </w:tabs>
        <w:ind w:left="5760" w:hanging="360"/>
      </w:pPr>
      <w:rPr>
        <w:rFonts w:ascii="Courier New" w:hAnsi="Courier New" w:cs="Calibri" w:hint="default"/>
      </w:rPr>
    </w:lvl>
    <w:lvl w:ilvl="8" w:tplc="04060005">
      <w:start w:val="1"/>
      <w:numFmt w:val="bullet"/>
      <w:lvlText w:val=""/>
      <w:lvlJc w:val="left"/>
      <w:pPr>
        <w:tabs>
          <w:tab w:val="num" w:pos="6480"/>
        </w:tabs>
        <w:ind w:left="6480" w:hanging="360"/>
      </w:pPr>
      <w:rPr>
        <w:rFonts w:ascii="Wingdings" w:hAnsi="Wingdings" w:cs="Wingdings" w:hint="default"/>
      </w:rPr>
    </w:lvl>
  </w:abstractNum>
  <w:num w:numId="1" w16cid:durableId="56709703">
    <w:abstractNumId w:val="7"/>
  </w:num>
  <w:num w:numId="2" w16cid:durableId="452748794">
    <w:abstractNumId w:val="9"/>
  </w:num>
  <w:num w:numId="3" w16cid:durableId="1423841900">
    <w:abstractNumId w:val="12"/>
  </w:num>
  <w:num w:numId="4" w16cid:durableId="2027363915">
    <w:abstractNumId w:val="5"/>
  </w:num>
  <w:num w:numId="5" w16cid:durableId="324016391">
    <w:abstractNumId w:val="2"/>
  </w:num>
  <w:num w:numId="6" w16cid:durableId="592981955">
    <w:abstractNumId w:val="10"/>
  </w:num>
  <w:num w:numId="7" w16cid:durableId="2122915461">
    <w:abstractNumId w:val="1"/>
  </w:num>
  <w:num w:numId="8" w16cid:durableId="762149387">
    <w:abstractNumId w:val="0"/>
  </w:num>
  <w:num w:numId="9" w16cid:durableId="1657760343">
    <w:abstractNumId w:val="3"/>
  </w:num>
  <w:num w:numId="10" w16cid:durableId="1801068222">
    <w:abstractNumId w:val="4"/>
  </w:num>
  <w:num w:numId="11" w16cid:durableId="534737653">
    <w:abstractNumId w:val="11"/>
  </w:num>
  <w:num w:numId="12" w16cid:durableId="2115905700">
    <w:abstractNumId w:val="8"/>
  </w:num>
  <w:num w:numId="13" w16cid:durableId="18780813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277"/>
    <w:rsid w:val="000015D0"/>
    <w:rsid w:val="000047A2"/>
    <w:rsid w:val="00005B58"/>
    <w:rsid w:val="00007754"/>
    <w:rsid w:val="00007A93"/>
    <w:rsid w:val="00012FBB"/>
    <w:rsid w:val="00022A85"/>
    <w:rsid w:val="00032912"/>
    <w:rsid w:val="00042D77"/>
    <w:rsid w:val="0004783F"/>
    <w:rsid w:val="00047882"/>
    <w:rsid w:val="0006591B"/>
    <w:rsid w:val="000813E3"/>
    <w:rsid w:val="00087562"/>
    <w:rsid w:val="0009071B"/>
    <w:rsid w:val="00091B48"/>
    <w:rsid w:val="00093806"/>
    <w:rsid w:val="00096EEB"/>
    <w:rsid w:val="000A078B"/>
    <w:rsid w:val="00101EA7"/>
    <w:rsid w:val="00124F4C"/>
    <w:rsid w:val="00125500"/>
    <w:rsid w:val="0015260A"/>
    <w:rsid w:val="001527FF"/>
    <w:rsid w:val="00161625"/>
    <w:rsid w:val="00162161"/>
    <w:rsid w:val="00162BFC"/>
    <w:rsid w:val="00164804"/>
    <w:rsid w:val="00174F90"/>
    <w:rsid w:val="00180F81"/>
    <w:rsid w:val="00185A33"/>
    <w:rsid w:val="001933F8"/>
    <w:rsid w:val="001964DC"/>
    <w:rsid w:val="001A0009"/>
    <w:rsid w:val="001B40A8"/>
    <w:rsid w:val="001C18B7"/>
    <w:rsid w:val="001C24BB"/>
    <w:rsid w:val="001C4D88"/>
    <w:rsid w:val="001D1867"/>
    <w:rsid w:val="001D2DDF"/>
    <w:rsid w:val="001D4BFB"/>
    <w:rsid w:val="001F2818"/>
    <w:rsid w:val="00202CEA"/>
    <w:rsid w:val="0020474D"/>
    <w:rsid w:val="00207013"/>
    <w:rsid w:val="00214BD2"/>
    <w:rsid w:val="002241FF"/>
    <w:rsid w:val="00233A93"/>
    <w:rsid w:val="00234C26"/>
    <w:rsid w:val="00241944"/>
    <w:rsid w:val="00243B55"/>
    <w:rsid w:val="002469A9"/>
    <w:rsid w:val="002500BB"/>
    <w:rsid w:val="002501BC"/>
    <w:rsid w:val="002633BD"/>
    <w:rsid w:val="00274609"/>
    <w:rsid w:val="00281F82"/>
    <w:rsid w:val="00295277"/>
    <w:rsid w:val="00295CEA"/>
    <w:rsid w:val="002A1B4A"/>
    <w:rsid w:val="002A274E"/>
    <w:rsid w:val="002A38BA"/>
    <w:rsid w:val="002A7414"/>
    <w:rsid w:val="002B12DD"/>
    <w:rsid w:val="002B1CAA"/>
    <w:rsid w:val="002C2B1A"/>
    <w:rsid w:val="002C3EF5"/>
    <w:rsid w:val="002C5991"/>
    <w:rsid w:val="002E279D"/>
    <w:rsid w:val="002E6B52"/>
    <w:rsid w:val="002F5604"/>
    <w:rsid w:val="00301116"/>
    <w:rsid w:val="00306D77"/>
    <w:rsid w:val="0031574F"/>
    <w:rsid w:val="0031751F"/>
    <w:rsid w:val="003232F4"/>
    <w:rsid w:val="00331F72"/>
    <w:rsid w:val="00351040"/>
    <w:rsid w:val="00371435"/>
    <w:rsid w:val="003760C9"/>
    <w:rsid w:val="003844C9"/>
    <w:rsid w:val="00392669"/>
    <w:rsid w:val="003A0D7B"/>
    <w:rsid w:val="003A0DB9"/>
    <w:rsid w:val="003A268C"/>
    <w:rsid w:val="003C7D1D"/>
    <w:rsid w:val="003D3F58"/>
    <w:rsid w:val="003E024C"/>
    <w:rsid w:val="003F5C42"/>
    <w:rsid w:val="00407EA3"/>
    <w:rsid w:val="00417C07"/>
    <w:rsid w:val="00422ED8"/>
    <w:rsid w:val="00426886"/>
    <w:rsid w:val="00457D0C"/>
    <w:rsid w:val="00461EF7"/>
    <w:rsid w:val="004710CF"/>
    <w:rsid w:val="004769C4"/>
    <w:rsid w:val="0049406A"/>
    <w:rsid w:val="004A3DB1"/>
    <w:rsid w:val="004B51BD"/>
    <w:rsid w:val="004C3804"/>
    <w:rsid w:val="004C44BC"/>
    <w:rsid w:val="004D046F"/>
    <w:rsid w:val="004D58F5"/>
    <w:rsid w:val="004D64EC"/>
    <w:rsid w:val="004E25C4"/>
    <w:rsid w:val="004E6BBB"/>
    <w:rsid w:val="004F2F28"/>
    <w:rsid w:val="00500A5F"/>
    <w:rsid w:val="00524573"/>
    <w:rsid w:val="005270F6"/>
    <w:rsid w:val="005459ED"/>
    <w:rsid w:val="005473D7"/>
    <w:rsid w:val="005632B4"/>
    <w:rsid w:val="00567CD1"/>
    <w:rsid w:val="00571DA7"/>
    <w:rsid w:val="005737A5"/>
    <w:rsid w:val="00576BC3"/>
    <w:rsid w:val="00577B8C"/>
    <w:rsid w:val="00581933"/>
    <w:rsid w:val="00582BF2"/>
    <w:rsid w:val="00587AAF"/>
    <w:rsid w:val="0059043F"/>
    <w:rsid w:val="00590CF7"/>
    <w:rsid w:val="00591B06"/>
    <w:rsid w:val="00597983"/>
    <w:rsid w:val="005A165B"/>
    <w:rsid w:val="005B7036"/>
    <w:rsid w:val="005C7719"/>
    <w:rsid w:val="005D13B0"/>
    <w:rsid w:val="005E16F2"/>
    <w:rsid w:val="005E7D24"/>
    <w:rsid w:val="005F6472"/>
    <w:rsid w:val="005F793C"/>
    <w:rsid w:val="006149D7"/>
    <w:rsid w:val="006167E3"/>
    <w:rsid w:val="00620183"/>
    <w:rsid w:val="006256CC"/>
    <w:rsid w:val="00626351"/>
    <w:rsid w:val="00626A83"/>
    <w:rsid w:val="00634619"/>
    <w:rsid w:val="00643C29"/>
    <w:rsid w:val="006579D7"/>
    <w:rsid w:val="00671391"/>
    <w:rsid w:val="006818CD"/>
    <w:rsid w:val="00683650"/>
    <w:rsid w:val="00691A26"/>
    <w:rsid w:val="006B785C"/>
    <w:rsid w:val="006C4184"/>
    <w:rsid w:val="006D415F"/>
    <w:rsid w:val="006D7180"/>
    <w:rsid w:val="006E1988"/>
    <w:rsid w:val="006E36D0"/>
    <w:rsid w:val="006E736E"/>
    <w:rsid w:val="006F0552"/>
    <w:rsid w:val="00701C19"/>
    <w:rsid w:val="0070305A"/>
    <w:rsid w:val="0070539E"/>
    <w:rsid w:val="007124E3"/>
    <w:rsid w:val="00734EC0"/>
    <w:rsid w:val="0074162C"/>
    <w:rsid w:val="00754527"/>
    <w:rsid w:val="00757EB4"/>
    <w:rsid w:val="00763C1D"/>
    <w:rsid w:val="007647C7"/>
    <w:rsid w:val="00776756"/>
    <w:rsid w:val="00784060"/>
    <w:rsid w:val="007A190D"/>
    <w:rsid w:val="007B45FE"/>
    <w:rsid w:val="007D2A48"/>
    <w:rsid w:val="007E0A77"/>
    <w:rsid w:val="007E0F85"/>
    <w:rsid w:val="007E3297"/>
    <w:rsid w:val="007E7B25"/>
    <w:rsid w:val="007F2420"/>
    <w:rsid w:val="00816053"/>
    <w:rsid w:val="00826C0B"/>
    <w:rsid w:val="00826E02"/>
    <w:rsid w:val="00831358"/>
    <w:rsid w:val="00834CAE"/>
    <w:rsid w:val="0084083F"/>
    <w:rsid w:val="00843A4D"/>
    <w:rsid w:val="00855C5B"/>
    <w:rsid w:val="00876E26"/>
    <w:rsid w:val="0088016F"/>
    <w:rsid w:val="00883CE9"/>
    <w:rsid w:val="008919EE"/>
    <w:rsid w:val="008B2D3E"/>
    <w:rsid w:val="008C3D8A"/>
    <w:rsid w:val="008D10E7"/>
    <w:rsid w:val="008E2E7E"/>
    <w:rsid w:val="008F077B"/>
    <w:rsid w:val="008F550C"/>
    <w:rsid w:val="008F5D4B"/>
    <w:rsid w:val="00903930"/>
    <w:rsid w:val="00911B62"/>
    <w:rsid w:val="00920301"/>
    <w:rsid w:val="00923B01"/>
    <w:rsid w:val="00923EE8"/>
    <w:rsid w:val="00930F38"/>
    <w:rsid w:val="00931AFF"/>
    <w:rsid w:val="00933522"/>
    <w:rsid w:val="00935C4F"/>
    <w:rsid w:val="00936F93"/>
    <w:rsid w:val="00946DAB"/>
    <w:rsid w:val="00957E78"/>
    <w:rsid w:val="00957ED9"/>
    <w:rsid w:val="0097348C"/>
    <w:rsid w:val="00993BDD"/>
    <w:rsid w:val="00995B21"/>
    <w:rsid w:val="009A37B2"/>
    <w:rsid w:val="009B122B"/>
    <w:rsid w:val="009B519F"/>
    <w:rsid w:val="009B528B"/>
    <w:rsid w:val="009C0337"/>
    <w:rsid w:val="009C2381"/>
    <w:rsid w:val="009E610F"/>
    <w:rsid w:val="009F3AC2"/>
    <w:rsid w:val="00A0676D"/>
    <w:rsid w:val="00A1499D"/>
    <w:rsid w:val="00A24507"/>
    <w:rsid w:val="00A26FEA"/>
    <w:rsid w:val="00A346A8"/>
    <w:rsid w:val="00A37855"/>
    <w:rsid w:val="00A52FC2"/>
    <w:rsid w:val="00A55039"/>
    <w:rsid w:val="00A630B3"/>
    <w:rsid w:val="00A64884"/>
    <w:rsid w:val="00A757CD"/>
    <w:rsid w:val="00A75A5B"/>
    <w:rsid w:val="00A75EAB"/>
    <w:rsid w:val="00A81529"/>
    <w:rsid w:val="00A910EE"/>
    <w:rsid w:val="00AA0C2F"/>
    <w:rsid w:val="00AC00F4"/>
    <w:rsid w:val="00AC09F4"/>
    <w:rsid w:val="00AC5400"/>
    <w:rsid w:val="00AF07F1"/>
    <w:rsid w:val="00B07C83"/>
    <w:rsid w:val="00B1033A"/>
    <w:rsid w:val="00B21EF6"/>
    <w:rsid w:val="00B274E1"/>
    <w:rsid w:val="00B312E4"/>
    <w:rsid w:val="00B421FE"/>
    <w:rsid w:val="00B45CB9"/>
    <w:rsid w:val="00B51E09"/>
    <w:rsid w:val="00B529C0"/>
    <w:rsid w:val="00B5529E"/>
    <w:rsid w:val="00B62445"/>
    <w:rsid w:val="00B65130"/>
    <w:rsid w:val="00B74C50"/>
    <w:rsid w:val="00B87DCC"/>
    <w:rsid w:val="00B9047C"/>
    <w:rsid w:val="00B953D2"/>
    <w:rsid w:val="00BA138A"/>
    <w:rsid w:val="00BA61AB"/>
    <w:rsid w:val="00BB4FA3"/>
    <w:rsid w:val="00BC232C"/>
    <w:rsid w:val="00BC6479"/>
    <w:rsid w:val="00BC7FB1"/>
    <w:rsid w:val="00BE5C06"/>
    <w:rsid w:val="00BE5F84"/>
    <w:rsid w:val="00BF4B6D"/>
    <w:rsid w:val="00C025DF"/>
    <w:rsid w:val="00C02622"/>
    <w:rsid w:val="00C02FFA"/>
    <w:rsid w:val="00C24FE1"/>
    <w:rsid w:val="00C25694"/>
    <w:rsid w:val="00C326BF"/>
    <w:rsid w:val="00C36B3D"/>
    <w:rsid w:val="00C452DB"/>
    <w:rsid w:val="00C53122"/>
    <w:rsid w:val="00C55326"/>
    <w:rsid w:val="00C810DA"/>
    <w:rsid w:val="00C97FAC"/>
    <w:rsid w:val="00CA0E2A"/>
    <w:rsid w:val="00CA41B2"/>
    <w:rsid w:val="00CD319A"/>
    <w:rsid w:val="00CF0076"/>
    <w:rsid w:val="00D015E5"/>
    <w:rsid w:val="00D0690A"/>
    <w:rsid w:val="00D43889"/>
    <w:rsid w:val="00D45294"/>
    <w:rsid w:val="00D54643"/>
    <w:rsid w:val="00D55839"/>
    <w:rsid w:val="00D562F0"/>
    <w:rsid w:val="00D66301"/>
    <w:rsid w:val="00D93882"/>
    <w:rsid w:val="00D94F34"/>
    <w:rsid w:val="00D97987"/>
    <w:rsid w:val="00DB0F0D"/>
    <w:rsid w:val="00DB123B"/>
    <w:rsid w:val="00DC2630"/>
    <w:rsid w:val="00DC266E"/>
    <w:rsid w:val="00DC49EB"/>
    <w:rsid w:val="00DC5041"/>
    <w:rsid w:val="00DC67A4"/>
    <w:rsid w:val="00DD0500"/>
    <w:rsid w:val="00DE2D70"/>
    <w:rsid w:val="00DE643F"/>
    <w:rsid w:val="00DE7F5E"/>
    <w:rsid w:val="00DF1244"/>
    <w:rsid w:val="00E2520A"/>
    <w:rsid w:val="00E36091"/>
    <w:rsid w:val="00E367F5"/>
    <w:rsid w:val="00E454B0"/>
    <w:rsid w:val="00E47602"/>
    <w:rsid w:val="00E5609D"/>
    <w:rsid w:val="00E57CE6"/>
    <w:rsid w:val="00E61832"/>
    <w:rsid w:val="00E70640"/>
    <w:rsid w:val="00E71ABD"/>
    <w:rsid w:val="00E83B8D"/>
    <w:rsid w:val="00E8517B"/>
    <w:rsid w:val="00E92144"/>
    <w:rsid w:val="00EA4988"/>
    <w:rsid w:val="00EA6ABF"/>
    <w:rsid w:val="00EE1F22"/>
    <w:rsid w:val="00F04863"/>
    <w:rsid w:val="00F17199"/>
    <w:rsid w:val="00F21DCC"/>
    <w:rsid w:val="00F259AA"/>
    <w:rsid w:val="00F50826"/>
    <w:rsid w:val="00F564E2"/>
    <w:rsid w:val="00F576C7"/>
    <w:rsid w:val="00F614C1"/>
    <w:rsid w:val="00F72D7C"/>
    <w:rsid w:val="00F73E7B"/>
    <w:rsid w:val="00F86336"/>
    <w:rsid w:val="00F972CD"/>
    <w:rsid w:val="00FA06E3"/>
    <w:rsid w:val="00FB27C8"/>
    <w:rsid w:val="00FB3298"/>
    <w:rsid w:val="00FB736C"/>
    <w:rsid w:val="00FC6638"/>
    <w:rsid w:val="00FE14A4"/>
    <w:rsid w:val="00FE25DF"/>
    <w:rsid w:val="00FE2DD0"/>
    <w:rsid w:val="00FE4053"/>
    <w:rsid w:val="00FF2601"/>
    <w:rsid w:val="00FF3A2E"/>
    <w:rsid w:val="014BBF23"/>
    <w:rsid w:val="022C1B35"/>
    <w:rsid w:val="0572B68D"/>
    <w:rsid w:val="07BA0C61"/>
    <w:rsid w:val="0C4237EE"/>
    <w:rsid w:val="1040FCF8"/>
    <w:rsid w:val="10962B9E"/>
    <w:rsid w:val="1797316C"/>
    <w:rsid w:val="183E2B4C"/>
    <w:rsid w:val="197845F4"/>
    <w:rsid w:val="19832BE4"/>
    <w:rsid w:val="198925FD"/>
    <w:rsid w:val="1C22F9E3"/>
    <w:rsid w:val="1CCEEA89"/>
    <w:rsid w:val="223978F0"/>
    <w:rsid w:val="2643FC71"/>
    <w:rsid w:val="2698FE42"/>
    <w:rsid w:val="277E9A75"/>
    <w:rsid w:val="2AEB5CC1"/>
    <w:rsid w:val="2CDA72A9"/>
    <w:rsid w:val="2D5766B2"/>
    <w:rsid w:val="30ABDAA5"/>
    <w:rsid w:val="35ABB6FB"/>
    <w:rsid w:val="37513A4F"/>
    <w:rsid w:val="37F78250"/>
    <w:rsid w:val="38B7892B"/>
    <w:rsid w:val="38C6CBC4"/>
    <w:rsid w:val="3EB7230F"/>
    <w:rsid w:val="42922789"/>
    <w:rsid w:val="4621B99E"/>
    <w:rsid w:val="47F190D6"/>
    <w:rsid w:val="483DFFF9"/>
    <w:rsid w:val="487ECFA8"/>
    <w:rsid w:val="4901690D"/>
    <w:rsid w:val="4C3909CF"/>
    <w:rsid w:val="4C8EF849"/>
    <w:rsid w:val="4E8AFB47"/>
    <w:rsid w:val="518DEC9D"/>
    <w:rsid w:val="52F0D8AF"/>
    <w:rsid w:val="5A64E55D"/>
    <w:rsid w:val="5B53E2C2"/>
    <w:rsid w:val="5D912081"/>
    <w:rsid w:val="6347C583"/>
    <w:rsid w:val="63C7C042"/>
    <w:rsid w:val="6433D4B4"/>
    <w:rsid w:val="64C05BBE"/>
    <w:rsid w:val="66705BC6"/>
    <w:rsid w:val="6819191A"/>
    <w:rsid w:val="683F3888"/>
    <w:rsid w:val="68535279"/>
    <w:rsid w:val="6D4E123C"/>
    <w:rsid w:val="71D8A9D6"/>
    <w:rsid w:val="71DEB025"/>
    <w:rsid w:val="721E296B"/>
    <w:rsid w:val="74E48D60"/>
    <w:rsid w:val="7B9F4D1F"/>
    <w:rsid w:val="7C9E8CEB"/>
    <w:rsid w:val="7FDD2A1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3CE66"/>
  <w15:docId w15:val="{D5BD5C2E-F154-4232-9EA2-AAABBB7CB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B9F4D1F"/>
    <w:pPr>
      <w:spacing w:after="0"/>
    </w:pPr>
    <w:rPr>
      <w:rFonts w:ascii="Times New Roman" w:eastAsia="Times New Roman" w:hAnsi="Times New Roman" w:cs="Times New Roman"/>
      <w:sz w:val="24"/>
      <w:szCs w:val="24"/>
      <w:lang w:val="it-IT" w:eastAsia="da-DK"/>
    </w:rPr>
  </w:style>
  <w:style w:type="paragraph" w:styleId="Heading1">
    <w:name w:val="heading 1"/>
    <w:basedOn w:val="Normal"/>
    <w:next w:val="Normal"/>
    <w:link w:val="Heading1Char"/>
    <w:uiPriority w:val="1"/>
    <w:qFormat/>
    <w:rsid w:val="7B9F4D1F"/>
    <w:pPr>
      <w:keepNext/>
      <w:outlineLvl w:val="0"/>
    </w:pPr>
    <w:rPr>
      <w:rFonts w:ascii="Arial" w:hAnsi="Arial" w:cs="Arial"/>
      <w:b/>
      <w:bCs/>
      <w:sz w:val="22"/>
      <w:szCs w:val="22"/>
    </w:rPr>
  </w:style>
  <w:style w:type="paragraph" w:styleId="Heading2">
    <w:name w:val="heading 2"/>
    <w:basedOn w:val="Normal"/>
    <w:next w:val="Normal"/>
    <w:link w:val="Heading2Char"/>
    <w:uiPriority w:val="1"/>
    <w:qFormat/>
    <w:rsid w:val="7B9F4D1F"/>
    <w:pPr>
      <w:keepNext/>
      <w:keepLines/>
      <w:spacing w:before="200"/>
      <w:outlineLvl w:val="1"/>
    </w:pPr>
    <w:rPr>
      <w:rFonts w:ascii="Cambria" w:hAnsi="Cambria" w:cs="Cambria"/>
      <w:b/>
      <w:bCs/>
      <w:sz w:val="26"/>
      <w:szCs w:val="26"/>
    </w:rPr>
  </w:style>
  <w:style w:type="paragraph" w:styleId="Heading3">
    <w:name w:val="heading 3"/>
    <w:basedOn w:val="Normal"/>
    <w:next w:val="Normal"/>
    <w:link w:val="Heading3Char"/>
    <w:uiPriority w:val="9"/>
    <w:semiHidden/>
    <w:unhideWhenUsed/>
    <w:qFormat/>
    <w:rsid w:val="7B9F4D1F"/>
    <w:pPr>
      <w:keepNext/>
      <w:keepLines/>
      <w:spacing w:before="40"/>
      <w:outlineLvl w:val="2"/>
    </w:pPr>
    <w:rPr>
      <w:rFonts w:asciiTheme="majorHAnsi" w:eastAsiaTheme="majorEastAsia" w:hAnsiTheme="majorHAnsi" w:cstheme="majorBidi"/>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Tegn"/>
    <w:rsid w:val="00295277"/>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semiHidden/>
    <w:rsid w:val="7B9F4D1F"/>
    <w:rPr>
      <w:rFonts w:ascii="Arial" w:hAnsi="Arial" w:cs="Arial"/>
      <w:sz w:val="22"/>
      <w:szCs w:val="22"/>
    </w:rPr>
  </w:style>
  <w:style w:type="character" w:customStyle="1" w:styleId="BodyTextChar">
    <w:name w:val="Body Text Char"/>
    <w:basedOn w:val="DefaultParagraphFont"/>
    <w:link w:val="BodyText"/>
    <w:semiHidden/>
    <w:rsid w:val="00816053"/>
    <w:rPr>
      <w:rFonts w:ascii="Arial" w:eastAsia="Times New Roman" w:hAnsi="Arial" w:cs="Arial"/>
      <w:lang w:eastAsia="da-DK"/>
    </w:rPr>
  </w:style>
  <w:style w:type="paragraph" w:styleId="BodyText2">
    <w:name w:val="Body Text 2"/>
    <w:basedOn w:val="Normal"/>
    <w:link w:val="BodyText2Char"/>
    <w:uiPriority w:val="1"/>
    <w:semiHidden/>
    <w:rsid w:val="7B9F4D1F"/>
    <w:rPr>
      <w:rFonts w:ascii="Arial" w:hAnsi="Arial" w:cs="Arial"/>
      <w:b/>
      <w:bCs/>
      <w:sz w:val="22"/>
      <w:szCs w:val="22"/>
    </w:rPr>
  </w:style>
  <w:style w:type="character" w:customStyle="1" w:styleId="BodyText2Char">
    <w:name w:val="Body Text 2 Char"/>
    <w:basedOn w:val="DefaultParagraphFont"/>
    <w:link w:val="BodyText2"/>
    <w:semiHidden/>
    <w:rsid w:val="00816053"/>
    <w:rPr>
      <w:rFonts w:ascii="Arial" w:eastAsia="Times New Roman" w:hAnsi="Arial" w:cs="Arial"/>
      <w:b/>
      <w:bCs/>
      <w:lang w:eastAsia="da-DK"/>
    </w:rPr>
  </w:style>
  <w:style w:type="character" w:customStyle="1" w:styleId="Heading1Char">
    <w:name w:val="Heading 1 Char"/>
    <w:basedOn w:val="DefaultParagraphFont"/>
    <w:link w:val="Heading1"/>
    <w:rsid w:val="00923EE8"/>
    <w:rPr>
      <w:rFonts w:ascii="Arial" w:eastAsia="Times New Roman" w:hAnsi="Arial" w:cs="Arial"/>
      <w:b/>
      <w:bCs/>
      <w:lang w:eastAsia="da-DK"/>
    </w:rPr>
  </w:style>
  <w:style w:type="character" w:customStyle="1" w:styleId="Heading2Char">
    <w:name w:val="Heading 2 Char"/>
    <w:basedOn w:val="DefaultParagraphFont"/>
    <w:link w:val="Heading2"/>
    <w:rsid w:val="00923EE8"/>
    <w:rPr>
      <w:rFonts w:ascii="Cambria" w:eastAsia="Times New Roman" w:hAnsi="Cambria" w:cs="Cambria"/>
      <w:b/>
      <w:bCs/>
      <w:sz w:val="26"/>
      <w:szCs w:val="26"/>
      <w:lang w:eastAsia="da-DK"/>
    </w:rPr>
  </w:style>
  <w:style w:type="paragraph" w:customStyle="1" w:styleId="MVTUBrdtekst">
    <w:name w:val="MVTU_Brødtekst"/>
    <w:basedOn w:val="Normal"/>
    <w:uiPriority w:val="1"/>
    <w:rsid w:val="7B9F4D1F"/>
    <w:pPr>
      <w:spacing w:line="260" w:lineRule="atLeast"/>
    </w:pPr>
    <w:rPr>
      <w:sz w:val="22"/>
      <w:szCs w:val="22"/>
      <w:lang w:eastAsia="en-US"/>
    </w:rPr>
  </w:style>
  <w:style w:type="paragraph" w:styleId="Header">
    <w:name w:val="header"/>
    <w:basedOn w:val="Normal"/>
    <w:link w:val="HeaderChar"/>
    <w:uiPriority w:val="99"/>
    <w:unhideWhenUsed/>
    <w:rsid w:val="7B9F4D1F"/>
    <w:pPr>
      <w:tabs>
        <w:tab w:val="center" w:pos="4819"/>
        <w:tab w:val="right" w:pos="9638"/>
      </w:tabs>
    </w:pPr>
  </w:style>
  <w:style w:type="character" w:customStyle="1" w:styleId="HeaderChar">
    <w:name w:val="Header Char"/>
    <w:basedOn w:val="DefaultParagraphFont"/>
    <w:link w:val="Header"/>
    <w:uiPriority w:val="99"/>
    <w:rsid w:val="00AF07F1"/>
    <w:rPr>
      <w:rFonts w:ascii="Times New Roman" w:eastAsia="Times New Roman" w:hAnsi="Times New Roman" w:cs="Times New Roman"/>
      <w:sz w:val="24"/>
      <w:szCs w:val="24"/>
      <w:lang w:eastAsia="da-DK"/>
    </w:rPr>
  </w:style>
  <w:style w:type="paragraph" w:styleId="Footer">
    <w:name w:val="footer"/>
    <w:basedOn w:val="Normal"/>
    <w:link w:val="FooterChar"/>
    <w:uiPriority w:val="99"/>
    <w:unhideWhenUsed/>
    <w:rsid w:val="7B9F4D1F"/>
    <w:pPr>
      <w:tabs>
        <w:tab w:val="center" w:pos="4819"/>
        <w:tab w:val="right" w:pos="9638"/>
      </w:tabs>
    </w:pPr>
  </w:style>
  <w:style w:type="character" w:customStyle="1" w:styleId="FooterChar">
    <w:name w:val="Footer Char"/>
    <w:basedOn w:val="DefaultParagraphFont"/>
    <w:link w:val="Footer"/>
    <w:uiPriority w:val="99"/>
    <w:rsid w:val="00AF07F1"/>
    <w:rPr>
      <w:rFonts w:ascii="Times New Roman" w:eastAsia="Times New Roman" w:hAnsi="Times New Roman" w:cs="Times New Roman"/>
      <w:sz w:val="24"/>
      <w:szCs w:val="24"/>
      <w:lang w:eastAsia="da-DK"/>
    </w:rPr>
  </w:style>
  <w:style w:type="paragraph" w:styleId="BalloonText">
    <w:name w:val="Balloon Text"/>
    <w:basedOn w:val="Normal"/>
    <w:link w:val="BalloonTextChar"/>
    <w:uiPriority w:val="99"/>
    <w:semiHidden/>
    <w:unhideWhenUsed/>
    <w:rsid w:val="7B9F4D1F"/>
    <w:rPr>
      <w:rFonts w:ascii="Tahoma" w:hAnsi="Tahoma" w:cs="Tahoma"/>
      <w:sz w:val="16"/>
      <w:szCs w:val="16"/>
    </w:rPr>
  </w:style>
  <w:style w:type="character" w:customStyle="1" w:styleId="BalloonTextChar">
    <w:name w:val="Balloon Text Char"/>
    <w:basedOn w:val="DefaultParagraphFont"/>
    <w:link w:val="BalloonText"/>
    <w:uiPriority w:val="99"/>
    <w:semiHidden/>
    <w:rsid w:val="00426886"/>
    <w:rPr>
      <w:rFonts w:ascii="Tahoma" w:eastAsia="Times New Roman" w:hAnsi="Tahoma" w:cs="Tahoma"/>
      <w:sz w:val="16"/>
      <w:szCs w:val="16"/>
      <w:lang w:eastAsia="da-DK"/>
    </w:rPr>
  </w:style>
  <w:style w:type="character" w:styleId="Hyperlink">
    <w:name w:val="Hyperlink"/>
    <w:basedOn w:val="DefaultParagraphFont"/>
    <w:uiPriority w:val="99"/>
    <w:unhideWhenUsed/>
    <w:rsid w:val="002C5991"/>
    <w:rPr>
      <w:color w:val="0000FF" w:themeColor="hyperlink"/>
      <w:u w:val="single"/>
    </w:rPr>
  </w:style>
  <w:style w:type="character" w:styleId="CommentReference">
    <w:name w:val="annotation reference"/>
    <w:basedOn w:val="DefaultParagraphFont"/>
    <w:uiPriority w:val="99"/>
    <w:semiHidden/>
    <w:unhideWhenUsed/>
    <w:rsid w:val="009B519F"/>
    <w:rPr>
      <w:sz w:val="16"/>
      <w:szCs w:val="16"/>
    </w:rPr>
  </w:style>
  <w:style w:type="paragraph" w:styleId="CommentText">
    <w:name w:val="annotation text"/>
    <w:basedOn w:val="Normal"/>
    <w:link w:val="CommentTextChar"/>
    <w:uiPriority w:val="99"/>
    <w:unhideWhenUsed/>
    <w:rsid w:val="7B9F4D1F"/>
    <w:rPr>
      <w:sz w:val="20"/>
      <w:szCs w:val="20"/>
    </w:rPr>
  </w:style>
  <w:style w:type="character" w:customStyle="1" w:styleId="CommentTextChar">
    <w:name w:val="Comment Text Char"/>
    <w:basedOn w:val="DefaultParagraphFont"/>
    <w:link w:val="CommentText"/>
    <w:uiPriority w:val="99"/>
    <w:rsid w:val="009B519F"/>
    <w:rPr>
      <w:rFonts w:ascii="Times New Roman" w:eastAsia="Times New Roman" w:hAnsi="Times New Roman" w:cs="Times New Roman"/>
      <w:sz w:val="20"/>
      <w:szCs w:val="20"/>
      <w:lang w:eastAsia="da-DK"/>
    </w:rPr>
  </w:style>
  <w:style w:type="paragraph" w:styleId="CommentSubject">
    <w:name w:val="annotation subject"/>
    <w:basedOn w:val="CommentText"/>
    <w:next w:val="CommentText"/>
    <w:link w:val="CommentSubjectChar"/>
    <w:uiPriority w:val="99"/>
    <w:semiHidden/>
    <w:unhideWhenUsed/>
    <w:rsid w:val="009B519F"/>
    <w:rPr>
      <w:b/>
      <w:bCs/>
    </w:rPr>
  </w:style>
  <w:style w:type="character" w:customStyle="1" w:styleId="CommentSubjectChar">
    <w:name w:val="Comment Subject Char"/>
    <w:basedOn w:val="CommentTextChar"/>
    <w:link w:val="CommentSubject"/>
    <w:uiPriority w:val="99"/>
    <w:semiHidden/>
    <w:rsid w:val="009B519F"/>
    <w:rPr>
      <w:rFonts w:ascii="Times New Roman" w:eastAsia="Times New Roman" w:hAnsi="Times New Roman" w:cs="Times New Roman"/>
      <w:b/>
      <w:bCs/>
      <w:sz w:val="20"/>
      <w:szCs w:val="20"/>
      <w:lang w:eastAsia="da-DK"/>
    </w:rPr>
  </w:style>
  <w:style w:type="paragraph" w:styleId="NormalWeb">
    <w:name w:val="Normal (Web)"/>
    <w:basedOn w:val="Normal"/>
    <w:uiPriority w:val="99"/>
    <w:semiHidden/>
    <w:unhideWhenUsed/>
    <w:rsid w:val="7B9F4D1F"/>
    <w:pPr>
      <w:spacing w:beforeAutospacing="1" w:afterAutospacing="1"/>
    </w:pPr>
  </w:style>
  <w:style w:type="paragraph" w:customStyle="1" w:styleId="xmsonormal">
    <w:name w:val="x_msonormal"/>
    <w:basedOn w:val="Normal"/>
    <w:uiPriority w:val="1"/>
    <w:rsid w:val="7B9F4D1F"/>
    <w:pPr>
      <w:spacing w:beforeAutospacing="1" w:afterAutospacing="1"/>
    </w:pPr>
  </w:style>
  <w:style w:type="character" w:customStyle="1" w:styleId="DefaultTegn">
    <w:name w:val="Default Tegn"/>
    <w:basedOn w:val="DefaultParagraphFont"/>
    <w:link w:val="Default"/>
    <w:rsid w:val="001D1867"/>
    <w:rPr>
      <w:rFonts w:ascii="Calibri" w:hAnsi="Calibri" w:cs="Calibri"/>
      <w:color w:val="000000"/>
      <w:sz w:val="24"/>
      <w:szCs w:val="24"/>
    </w:rPr>
  </w:style>
  <w:style w:type="paragraph" w:styleId="ListParagraph">
    <w:name w:val="List Paragraph"/>
    <w:basedOn w:val="Normal"/>
    <w:link w:val="ListParagraphChar"/>
    <w:uiPriority w:val="34"/>
    <w:qFormat/>
    <w:rsid w:val="7B9F4D1F"/>
    <w:pPr>
      <w:ind w:left="720"/>
      <w:contextualSpacing/>
    </w:pPr>
  </w:style>
  <w:style w:type="character" w:customStyle="1" w:styleId="ListParagraphChar">
    <w:name w:val="List Paragraph Char"/>
    <w:basedOn w:val="DefaultParagraphFont"/>
    <w:link w:val="ListParagraph"/>
    <w:uiPriority w:val="34"/>
    <w:locked/>
    <w:rsid w:val="005F6472"/>
    <w:rPr>
      <w:rFonts w:ascii="Times New Roman" w:eastAsia="Times New Roman" w:hAnsi="Times New Roman" w:cs="Times New Roman"/>
      <w:sz w:val="24"/>
      <w:szCs w:val="24"/>
      <w:lang w:eastAsia="da-DK"/>
    </w:rPr>
  </w:style>
  <w:style w:type="paragraph" w:styleId="ListBullet">
    <w:name w:val="List Bullet"/>
    <w:basedOn w:val="Normal"/>
    <w:uiPriority w:val="99"/>
    <w:semiHidden/>
    <w:unhideWhenUsed/>
    <w:rsid w:val="7B9F4D1F"/>
    <w:pPr>
      <w:numPr>
        <w:numId w:val="7"/>
      </w:numPr>
      <w:contextualSpacing/>
    </w:pPr>
  </w:style>
  <w:style w:type="paragraph" w:styleId="ListNumber">
    <w:name w:val="List Number"/>
    <w:basedOn w:val="Normal"/>
    <w:uiPriority w:val="99"/>
    <w:semiHidden/>
    <w:unhideWhenUsed/>
    <w:rsid w:val="7B9F4D1F"/>
    <w:pPr>
      <w:numPr>
        <w:numId w:val="8"/>
      </w:numPr>
      <w:contextualSpacing/>
    </w:pPr>
  </w:style>
  <w:style w:type="character" w:customStyle="1" w:styleId="Heading3Char">
    <w:name w:val="Heading 3 Char"/>
    <w:basedOn w:val="DefaultParagraphFont"/>
    <w:link w:val="Heading3"/>
    <w:uiPriority w:val="9"/>
    <w:semiHidden/>
    <w:rsid w:val="00042D77"/>
    <w:rPr>
      <w:rFonts w:asciiTheme="majorHAnsi" w:eastAsiaTheme="majorEastAsia" w:hAnsiTheme="majorHAnsi" w:cstheme="majorBidi"/>
      <w:color w:val="243F60" w:themeColor="accent1" w:themeShade="7F"/>
      <w:sz w:val="24"/>
      <w:szCs w:val="24"/>
      <w:lang w:eastAsia="da-DK"/>
    </w:rPr>
  </w:style>
  <w:style w:type="character" w:styleId="UnresolvedMention">
    <w:name w:val="Unresolved Mention"/>
    <w:basedOn w:val="DefaultParagraphFont"/>
    <w:uiPriority w:val="99"/>
    <w:semiHidden/>
    <w:unhideWhenUsed/>
    <w:rsid w:val="00FB3298"/>
    <w:rPr>
      <w:color w:val="605E5C"/>
      <w:shd w:val="clear" w:color="auto" w:fill="E1DFDD"/>
    </w:rPr>
  </w:style>
  <w:style w:type="character" w:styleId="FollowedHyperlink">
    <w:name w:val="FollowedHyperlink"/>
    <w:basedOn w:val="DefaultParagraphFont"/>
    <w:uiPriority w:val="99"/>
    <w:semiHidden/>
    <w:unhideWhenUsed/>
    <w:rsid w:val="00FB3298"/>
    <w:rPr>
      <w:color w:val="800080" w:themeColor="followedHyperlink"/>
      <w:u w:val="single"/>
    </w:rPr>
  </w:style>
  <w:style w:type="paragraph" w:styleId="Revision">
    <w:name w:val="Revision"/>
    <w:hidden/>
    <w:uiPriority w:val="99"/>
    <w:semiHidden/>
    <w:rsid w:val="00DE2D70"/>
    <w:pPr>
      <w:spacing w:after="0"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184124">
      <w:bodyDiv w:val="1"/>
      <w:marLeft w:val="0"/>
      <w:marRight w:val="0"/>
      <w:marTop w:val="0"/>
      <w:marBottom w:val="0"/>
      <w:divBdr>
        <w:top w:val="none" w:sz="0" w:space="0" w:color="auto"/>
        <w:left w:val="none" w:sz="0" w:space="0" w:color="auto"/>
        <w:bottom w:val="none" w:sz="0" w:space="0" w:color="auto"/>
        <w:right w:val="none" w:sz="0" w:space="0" w:color="auto"/>
      </w:divBdr>
    </w:div>
    <w:div w:id="810169187">
      <w:bodyDiv w:val="1"/>
      <w:marLeft w:val="0"/>
      <w:marRight w:val="0"/>
      <w:marTop w:val="0"/>
      <w:marBottom w:val="0"/>
      <w:divBdr>
        <w:top w:val="none" w:sz="0" w:space="0" w:color="auto"/>
        <w:left w:val="none" w:sz="0" w:space="0" w:color="auto"/>
        <w:bottom w:val="none" w:sz="0" w:space="0" w:color="auto"/>
        <w:right w:val="none" w:sz="0" w:space="0" w:color="auto"/>
      </w:divBdr>
    </w:div>
    <w:div w:id="856231155">
      <w:bodyDiv w:val="1"/>
      <w:marLeft w:val="0"/>
      <w:marRight w:val="0"/>
      <w:marTop w:val="0"/>
      <w:marBottom w:val="0"/>
      <w:divBdr>
        <w:top w:val="none" w:sz="0" w:space="0" w:color="auto"/>
        <w:left w:val="none" w:sz="0" w:space="0" w:color="auto"/>
        <w:bottom w:val="none" w:sz="0" w:space="0" w:color="auto"/>
        <w:right w:val="none" w:sz="0" w:space="0" w:color="auto"/>
      </w:divBdr>
    </w:div>
    <w:div w:id="88880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29885-0017-4C51-B871-9CC88A1EB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1765</Words>
  <Characters>10067</Characters>
  <Application>Microsoft Office Word</Application>
  <DocSecurity>0</DocSecurity>
  <Lines>83</Lines>
  <Paragraphs>23</Paragraphs>
  <ScaleCrop>false</ScaleCrop>
  <Company>Region Hovedstaden</Company>
  <LinksUpToDate>false</LinksUpToDate>
  <CharactersWithSpaces>11809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Buhl Hjortrup</dc:creator>
  <cp:keywords/>
  <dc:description/>
  <cp:lastModifiedBy>Maj-Brit Nørregaard Kjær</cp:lastModifiedBy>
  <cp:revision>5</cp:revision>
  <cp:lastPrinted>2020-03-29T20:46:00Z</cp:lastPrinted>
  <dcterms:created xsi:type="dcterms:W3CDTF">2026-04-21T07:10:00Z</dcterms:created>
  <dcterms:modified xsi:type="dcterms:W3CDTF">2026-04-21T07:48:00Z</dcterms:modified>
</cp:coreProperties>
</file>