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04A40" w14:textId="77777777" w:rsidR="00633ABE" w:rsidRPr="00BA0BB9" w:rsidRDefault="00633ABE" w:rsidP="00F70334">
      <w:pPr>
        <w:pStyle w:val="BodyText2"/>
        <w:spacing w:line="360" w:lineRule="auto"/>
        <w:rPr>
          <w:rFonts w:asciiTheme="minorHAnsi" w:hAnsiTheme="minorHAnsi" w:cstheme="minorHAnsi"/>
          <w:b w:val="0"/>
          <w:sz w:val="24"/>
          <w:szCs w:val="24"/>
          <w:lang w:val="es-ES"/>
        </w:rPr>
      </w:pPr>
      <w:bookmarkStart w:id="0" w:name="_Hlk192137621"/>
    </w:p>
    <w:p w14:paraId="2381514A" w14:textId="77777777" w:rsidR="00633ABE" w:rsidRPr="00BA0BB9" w:rsidRDefault="00633ABE" w:rsidP="00633ABE">
      <w:pPr>
        <w:pStyle w:val="Default"/>
        <w:spacing w:line="360" w:lineRule="auto"/>
        <w:rPr>
          <w:rFonts w:asciiTheme="minorHAnsi" w:hAnsiTheme="minorHAnsi" w:cstheme="minorHAnsi"/>
          <w:b/>
          <w:bCs/>
          <w:sz w:val="40"/>
          <w:szCs w:val="40"/>
          <w:u w:val="single"/>
          <w:lang w:val="es-ES"/>
        </w:rPr>
      </w:pPr>
      <w:r w:rsidRPr="00BA0BB9">
        <w:rPr>
          <w:b/>
          <w:bCs/>
          <w:sz w:val="40"/>
          <w:szCs w:val="40"/>
          <w:u w:val="single"/>
          <w:lang w:val="es-ES"/>
        </w:rPr>
        <w:t>Para los familiares</w:t>
      </w:r>
    </w:p>
    <w:p w14:paraId="331845AC" w14:textId="77777777" w:rsidR="00633ABE" w:rsidRPr="00BA0BB9" w:rsidRDefault="00633ABE" w:rsidP="00633ABE">
      <w:pPr>
        <w:pStyle w:val="BodyText"/>
        <w:spacing w:line="360" w:lineRule="auto"/>
        <w:jc w:val="center"/>
        <w:rPr>
          <w:rFonts w:asciiTheme="minorHAnsi" w:hAnsiTheme="minorHAnsi" w:cstheme="minorHAnsi"/>
          <w:b/>
          <w:bCs/>
          <w:sz w:val="32"/>
          <w:szCs w:val="32"/>
          <w:lang w:val="es-ES"/>
        </w:rPr>
      </w:pPr>
      <w:r w:rsidRPr="00BA0BB9">
        <w:rPr>
          <w:b/>
          <w:bCs/>
          <w:sz w:val="32"/>
          <w:szCs w:val="32"/>
          <w:lang w:val="es-ES"/>
        </w:rPr>
        <w:t>Información sobre la participación en un ensayo clínico para pacientes hospitalizados con sepsis y enfermedad crítica</w:t>
      </w:r>
    </w:p>
    <w:p w14:paraId="3DBD29E5" w14:textId="77777777" w:rsidR="00633ABE" w:rsidRPr="00BA0BB9" w:rsidRDefault="00633ABE" w:rsidP="00633ABE">
      <w:pPr>
        <w:pStyle w:val="BodyText"/>
        <w:spacing w:line="360" w:lineRule="auto"/>
        <w:rPr>
          <w:rFonts w:asciiTheme="minorHAnsi" w:hAnsiTheme="minorHAnsi" w:cstheme="minorHAnsi"/>
          <w:b/>
          <w:bCs/>
          <w:sz w:val="28"/>
          <w:szCs w:val="28"/>
          <w:lang w:val="es-ES"/>
        </w:rPr>
      </w:pPr>
    </w:p>
    <w:p w14:paraId="45359D64" w14:textId="56776727" w:rsidR="00633ABE" w:rsidRPr="00BA0BB9" w:rsidRDefault="00633ABE" w:rsidP="00633ABE">
      <w:pPr>
        <w:pStyle w:val="BodyText"/>
        <w:spacing w:line="360" w:lineRule="auto"/>
        <w:rPr>
          <w:rFonts w:asciiTheme="minorHAnsi" w:hAnsiTheme="minorHAnsi" w:cstheme="minorHAnsi"/>
          <w:b/>
          <w:bCs/>
          <w:sz w:val="28"/>
          <w:szCs w:val="28"/>
          <w:lang w:val="es-ES"/>
        </w:rPr>
      </w:pPr>
      <w:r w:rsidRPr="00BA0BB9">
        <w:rPr>
          <w:rFonts w:asciiTheme="minorHAnsi" w:hAnsiTheme="minorHAnsi" w:cstheme="minorHAnsi"/>
          <w:b/>
          <w:bCs/>
          <w:sz w:val="28"/>
          <w:szCs w:val="28"/>
          <w:lang w:val="es-ES"/>
        </w:rPr>
        <w:t>Número CT de la UE: 2023-509703-33-00</w:t>
      </w:r>
    </w:p>
    <w:p w14:paraId="3387F2A4" w14:textId="77777777" w:rsidR="00633ABE" w:rsidRPr="00BA0BB9" w:rsidRDefault="00633ABE" w:rsidP="00633ABE">
      <w:pPr>
        <w:pStyle w:val="BodyText"/>
        <w:spacing w:line="360" w:lineRule="auto"/>
        <w:rPr>
          <w:rFonts w:asciiTheme="minorHAnsi" w:hAnsiTheme="minorHAnsi" w:cstheme="minorHAnsi"/>
          <w:b/>
          <w:bCs/>
          <w:sz w:val="28"/>
          <w:szCs w:val="28"/>
          <w:lang w:val="es-ES"/>
        </w:rPr>
      </w:pPr>
    </w:p>
    <w:p w14:paraId="34E3F13A" w14:textId="77777777" w:rsidR="00633ABE" w:rsidRPr="00BA0BB9" w:rsidRDefault="00633ABE" w:rsidP="00633ABE">
      <w:pPr>
        <w:pStyle w:val="NormalWeb"/>
        <w:spacing w:line="360" w:lineRule="auto"/>
        <w:rPr>
          <w:rFonts w:asciiTheme="minorHAnsi" w:hAnsiTheme="minorHAnsi" w:cstheme="minorHAnsi"/>
          <w:lang w:val="es-ES"/>
        </w:rPr>
      </w:pPr>
      <w:r w:rsidRPr="00BA0BB9">
        <w:rPr>
          <w:rStyle w:val="Strong"/>
          <w:rFonts w:asciiTheme="minorHAnsi" w:hAnsiTheme="minorHAnsi" w:cstheme="minorHAnsi"/>
          <w:lang w:val="es-ES"/>
        </w:rPr>
        <w:t>Título del ensayo clínico</w:t>
      </w:r>
      <w:r w:rsidRPr="00BA0BB9">
        <w:rPr>
          <w:rFonts w:asciiTheme="minorHAnsi" w:hAnsiTheme="minorHAnsi" w:cstheme="minorHAnsi"/>
          <w:lang w:val="es-ES"/>
        </w:rPr>
        <w:br/>
        <w:t>Meropenem empírico vs piperacilina/tazobactam para pacientes adultos con sepsis (EMPRESS)</w:t>
      </w:r>
    </w:p>
    <w:p w14:paraId="27AA0721" w14:textId="01743F85" w:rsidR="00633ABE" w:rsidRPr="00BA0BB9" w:rsidRDefault="00633ABE" w:rsidP="00633ABE">
      <w:pPr>
        <w:spacing w:line="360" w:lineRule="auto"/>
        <w:rPr>
          <w:rFonts w:asciiTheme="minorHAnsi" w:hAnsiTheme="minorHAnsi" w:cstheme="minorHAnsi"/>
          <w:lang w:val="es-ES"/>
        </w:rPr>
      </w:pPr>
    </w:p>
    <w:p w14:paraId="40E03449" w14:textId="77777777" w:rsidR="00633ABE" w:rsidRPr="00BA0BB9" w:rsidRDefault="00633ABE" w:rsidP="00633ABE">
      <w:pPr>
        <w:pStyle w:val="BodyText"/>
        <w:spacing w:line="360" w:lineRule="auto"/>
        <w:rPr>
          <w:rFonts w:asciiTheme="minorHAnsi" w:hAnsiTheme="minorHAnsi" w:cstheme="minorHAnsi"/>
          <w:b/>
          <w:bCs/>
          <w:sz w:val="24"/>
          <w:szCs w:val="24"/>
          <w:lang w:val="es-ES"/>
        </w:rPr>
      </w:pPr>
      <w:r w:rsidRPr="00BA0BB9">
        <w:rPr>
          <w:rFonts w:asciiTheme="minorHAnsi" w:hAnsiTheme="minorHAnsi" w:cstheme="minorHAnsi"/>
          <w:b/>
          <w:bCs/>
          <w:sz w:val="24"/>
          <w:szCs w:val="24"/>
          <w:lang w:val="es-ES"/>
        </w:rPr>
        <w:t>Introducción</w:t>
      </w:r>
    </w:p>
    <w:p w14:paraId="7442B04E"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Le pediremos que indique si desea otorgar permiso para que su familiar participe en un ensayo clínico. Su familiar tiene una infección grave. Como su familiar no puede proporcionar su propio consentimiento, le pedimos que otorgue el </w:t>
      </w:r>
      <w:r w:rsidRPr="00BA0BB9">
        <w:rPr>
          <w:rStyle w:val="Strong"/>
          <w:rFonts w:asciiTheme="minorHAnsi" w:hAnsiTheme="minorHAnsi" w:cstheme="minorHAnsi"/>
          <w:b w:val="0"/>
          <w:bCs w:val="0"/>
          <w:lang w:val="es-ES"/>
        </w:rPr>
        <w:t>consentimiento por apoderado</w:t>
      </w:r>
      <w:r w:rsidRPr="00BA0BB9">
        <w:rPr>
          <w:rFonts w:asciiTheme="minorHAnsi" w:hAnsiTheme="minorHAnsi" w:cstheme="minorHAnsi"/>
          <w:lang w:val="es-ES"/>
        </w:rPr>
        <w:t xml:space="preserve"> en su nombre para participar en el ensayo clínico.</w:t>
      </w:r>
    </w:p>
    <w:p w14:paraId="3D728DBB"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El ensayo clínico comenzó durante la fase aguda del tratamiento porque la condición crítica de su familiar nos impedía pedir su consentimiento directamente. La participación en el ensayo clínico es </w:t>
      </w:r>
      <w:r w:rsidRPr="00BA0BB9">
        <w:rPr>
          <w:rStyle w:val="Strong"/>
          <w:rFonts w:asciiTheme="minorHAnsi" w:hAnsiTheme="minorHAnsi" w:cstheme="minorHAnsi"/>
          <w:b w:val="0"/>
          <w:bCs w:val="0"/>
          <w:lang w:val="es-ES"/>
        </w:rPr>
        <w:t>totalmente voluntaria</w:t>
      </w:r>
      <w:r w:rsidRPr="00BA0BB9">
        <w:rPr>
          <w:rFonts w:asciiTheme="minorHAnsi" w:hAnsiTheme="minorHAnsi" w:cstheme="minorHAnsi"/>
          <w:b/>
          <w:bCs/>
          <w:lang w:val="es-ES"/>
        </w:rPr>
        <w:t>,</w:t>
      </w:r>
      <w:r w:rsidRPr="00BA0BB9">
        <w:rPr>
          <w:rFonts w:asciiTheme="minorHAnsi" w:hAnsiTheme="minorHAnsi" w:cstheme="minorHAnsi"/>
          <w:lang w:val="es-ES"/>
        </w:rPr>
        <w:t xml:space="preserve"> y puede negarse sin que ello afecte el tratamiento actual o futuro de su familiar.</w:t>
      </w:r>
    </w:p>
    <w:p w14:paraId="6EB42043"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Antes de decidir si otorga consentimiento para la participación de su familiar, es importante que comprenda en qué consiste el ensayo clínico y por qué lo estamos realizando. Por favor, lea esta información con atención. Se le explicará verbalmente y tendrá la oportunidad de hacer preguntas. También puede invitar a otras personas a participar en la conversación. Si decide que su familiar puede continuar en el ensayo clínico, le pediremos que firme el formulario de consentimiento adjunto.</w:t>
      </w:r>
    </w:p>
    <w:p w14:paraId="0F46A8AC"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lastRenderedPageBreak/>
        <w:t xml:space="preserve">Recuerde que tiene derecho a un </w:t>
      </w:r>
      <w:r w:rsidRPr="00BA0BB9">
        <w:rPr>
          <w:rStyle w:val="Strong"/>
          <w:rFonts w:asciiTheme="minorHAnsi" w:hAnsiTheme="minorHAnsi" w:cstheme="minorHAnsi"/>
          <w:b w:val="0"/>
          <w:bCs w:val="0"/>
          <w:lang w:val="es-ES"/>
        </w:rPr>
        <w:t>período de consideración de al menos 24 horas</w:t>
      </w:r>
      <w:r w:rsidRPr="00BA0BB9">
        <w:rPr>
          <w:rFonts w:asciiTheme="minorHAnsi" w:hAnsiTheme="minorHAnsi" w:cstheme="minorHAnsi"/>
          <w:lang w:val="es-ES"/>
        </w:rPr>
        <w:t xml:space="preserve"> antes de tomar su decisión. Su familiar será solicitado para proporcionar su propio consentimiento tan pronto como su condición lo permita. Puede retirar su consentimiento por apoderado en cualquier momento sin dar una razón, y esto no afectará el tratamiento futuro de su familiar.</w:t>
      </w:r>
    </w:p>
    <w:p w14:paraId="24C18B67" w14:textId="3E42E71A" w:rsidR="00633ABE" w:rsidRPr="00BA0BB9" w:rsidRDefault="00633ABE" w:rsidP="00633ABE">
      <w:pPr>
        <w:spacing w:line="360" w:lineRule="auto"/>
        <w:rPr>
          <w:rFonts w:asciiTheme="minorHAnsi" w:hAnsiTheme="minorHAnsi" w:cstheme="minorHAnsi"/>
          <w:lang w:val="es-ES"/>
        </w:rPr>
      </w:pPr>
    </w:p>
    <w:p w14:paraId="300DBBBF" w14:textId="77777777" w:rsidR="00633ABE" w:rsidRPr="00BA0BB9" w:rsidRDefault="00633ABE" w:rsidP="00D5578B">
      <w:pPr>
        <w:pStyle w:val="BodyText"/>
        <w:spacing w:line="360" w:lineRule="auto"/>
        <w:rPr>
          <w:rFonts w:asciiTheme="minorHAnsi" w:hAnsiTheme="minorHAnsi" w:cstheme="minorHAnsi"/>
          <w:b/>
          <w:bCs/>
          <w:sz w:val="24"/>
          <w:szCs w:val="24"/>
          <w:lang w:val="es-ES"/>
        </w:rPr>
      </w:pPr>
      <w:r w:rsidRPr="00BA0BB9">
        <w:rPr>
          <w:rFonts w:asciiTheme="minorHAnsi" w:hAnsiTheme="minorHAnsi" w:cstheme="minorHAnsi"/>
          <w:b/>
          <w:bCs/>
          <w:sz w:val="24"/>
          <w:szCs w:val="24"/>
          <w:lang w:val="es-ES"/>
        </w:rPr>
        <w:t>Antecedentes</w:t>
      </w:r>
    </w:p>
    <w:p w14:paraId="19E85340"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La sepsis (envenenamiento de la sangre) es una condición que amenaza la vida y puede surgir de una infección grave. Afecta a los órganos del cuerpo y, en los peores casos, puede provocar </w:t>
      </w:r>
      <w:r w:rsidRPr="00BA0BB9">
        <w:rPr>
          <w:rStyle w:val="Strong"/>
          <w:rFonts w:asciiTheme="minorHAnsi" w:hAnsiTheme="minorHAnsi" w:cstheme="minorHAnsi"/>
          <w:b w:val="0"/>
          <w:bCs w:val="0"/>
          <w:lang w:val="es-ES"/>
        </w:rPr>
        <w:t>shock séptico</w:t>
      </w:r>
      <w:r w:rsidRPr="00BA0BB9">
        <w:rPr>
          <w:rFonts w:asciiTheme="minorHAnsi" w:hAnsiTheme="minorHAnsi" w:cstheme="minorHAnsi"/>
          <w:lang w:val="es-ES"/>
        </w:rPr>
        <w:t>, caracterizado por insuficiencia circulatoria.</w:t>
      </w:r>
    </w:p>
    <w:p w14:paraId="00CE6EF5"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El tratamiento con antibióticos de amplio espectro es el estándar para pacientes hospitalizados con sepsis, ya que aumenta la supervivencia. La elección específica del antibiótico depende de varios factores, como el tipo de infección, la presencia de otras enfermedades y la sensibilidad esperada de las bacterias a los antibióticos. La mayoría de los pacientes son tratados con </w:t>
      </w:r>
      <w:r w:rsidRPr="00BA0BB9">
        <w:rPr>
          <w:rStyle w:val="Strong"/>
          <w:rFonts w:asciiTheme="minorHAnsi" w:hAnsiTheme="minorHAnsi" w:cstheme="minorHAnsi"/>
          <w:b w:val="0"/>
          <w:bCs w:val="0"/>
          <w:lang w:val="es-ES"/>
        </w:rPr>
        <w:t>meropenem</w:t>
      </w:r>
      <w:r w:rsidRPr="00BA0BB9">
        <w:rPr>
          <w:rFonts w:asciiTheme="minorHAnsi" w:hAnsiTheme="minorHAnsi" w:cstheme="minorHAnsi"/>
          <w:b/>
          <w:bCs/>
          <w:lang w:val="es-ES"/>
        </w:rPr>
        <w:t xml:space="preserve"> </w:t>
      </w:r>
      <w:r w:rsidRPr="00BA0BB9">
        <w:rPr>
          <w:rFonts w:asciiTheme="minorHAnsi" w:hAnsiTheme="minorHAnsi" w:cstheme="minorHAnsi"/>
          <w:lang w:val="es-ES"/>
        </w:rPr>
        <w:t>o</w:t>
      </w:r>
      <w:r w:rsidRPr="00BA0BB9">
        <w:rPr>
          <w:rFonts w:asciiTheme="minorHAnsi" w:hAnsiTheme="minorHAnsi" w:cstheme="minorHAnsi"/>
          <w:b/>
          <w:bCs/>
          <w:lang w:val="es-ES"/>
        </w:rPr>
        <w:t xml:space="preserve"> </w:t>
      </w:r>
      <w:r w:rsidRPr="00BA0BB9">
        <w:rPr>
          <w:rStyle w:val="Strong"/>
          <w:rFonts w:asciiTheme="minorHAnsi" w:hAnsiTheme="minorHAnsi" w:cstheme="minorHAnsi"/>
          <w:b w:val="0"/>
          <w:bCs w:val="0"/>
          <w:lang w:val="es-ES"/>
        </w:rPr>
        <w:t>piperacilina/tazobactam</w:t>
      </w:r>
      <w:r w:rsidRPr="00BA0BB9">
        <w:rPr>
          <w:rFonts w:asciiTheme="minorHAnsi" w:hAnsiTheme="minorHAnsi" w:cstheme="minorHAnsi"/>
          <w:b/>
          <w:bCs/>
          <w:lang w:val="es-ES"/>
        </w:rPr>
        <w:t>,</w:t>
      </w:r>
      <w:r w:rsidRPr="00BA0BB9">
        <w:rPr>
          <w:rFonts w:asciiTheme="minorHAnsi" w:hAnsiTheme="minorHAnsi" w:cstheme="minorHAnsi"/>
          <w:lang w:val="es-ES"/>
        </w:rPr>
        <w:t xml:space="preserve"> pero no está claro cuál es superior y tiene menos efectos secundarios.</w:t>
      </w:r>
    </w:p>
    <w:p w14:paraId="0A836308" w14:textId="038CD3C9" w:rsidR="00633ABE" w:rsidRPr="00BA0BB9" w:rsidRDefault="00633ABE" w:rsidP="00633ABE">
      <w:pPr>
        <w:spacing w:line="360" w:lineRule="auto"/>
        <w:rPr>
          <w:rFonts w:asciiTheme="minorHAnsi" w:hAnsiTheme="minorHAnsi" w:cstheme="minorHAnsi"/>
          <w:lang w:val="es-ES"/>
        </w:rPr>
      </w:pPr>
    </w:p>
    <w:p w14:paraId="6D7ADBF5" w14:textId="77777777" w:rsidR="00633ABE" w:rsidRPr="00BA0BB9" w:rsidRDefault="00633ABE" w:rsidP="00D5578B">
      <w:pPr>
        <w:pStyle w:val="BodyText"/>
        <w:spacing w:line="360" w:lineRule="auto"/>
        <w:rPr>
          <w:rFonts w:asciiTheme="minorHAnsi" w:hAnsiTheme="minorHAnsi" w:cstheme="minorHAnsi"/>
          <w:b/>
          <w:bCs/>
          <w:sz w:val="24"/>
          <w:szCs w:val="24"/>
          <w:lang w:val="es-ES"/>
        </w:rPr>
      </w:pPr>
      <w:r w:rsidRPr="00BA0BB9">
        <w:rPr>
          <w:rFonts w:asciiTheme="minorHAnsi" w:hAnsiTheme="minorHAnsi" w:cstheme="minorHAnsi"/>
          <w:b/>
          <w:bCs/>
          <w:sz w:val="24"/>
          <w:szCs w:val="24"/>
          <w:lang w:val="es-ES"/>
        </w:rPr>
        <w:t>Propósito del ensayo clínico</w:t>
      </w:r>
    </w:p>
    <w:p w14:paraId="1D55383C"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El objetivo del ensayo clínico es investigar si </w:t>
      </w:r>
      <w:r w:rsidRPr="00BA0BB9">
        <w:rPr>
          <w:rStyle w:val="Strong"/>
          <w:rFonts w:asciiTheme="minorHAnsi" w:hAnsiTheme="minorHAnsi" w:cstheme="minorHAnsi"/>
          <w:b w:val="0"/>
          <w:bCs w:val="0"/>
          <w:lang w:val="es-ES"/>
        </w:rPr>
        <w:t>meropenem</w:t>
      </w:r>
      <w:r w:rsidRPr="00BA0BB9">
        <w:rPr>
          <w:rFonts w:asciiTheme="minorHAnsi" w:hAnsiTheme="minorHAnsi" w:cstheme="minorHAnsi"/>
          <w:lang w:val="es-ES"/>
        </w:rPr>
        <w:t xml:space="preserve">, comparado con </w:t>
      </w:r>
      <w:r w:rsidRPr="00BA0BB9">
        <w:rPr>
          <w:rStyle w:val="Strong"/>
          <w:rFonts w:asciiTheme="minorHAnsi" w:hAnsiTheme="minorHAnsi" w:cstheme="minorHAnsi"/>
          <w:b w:val="0"/>
          <w:bCs w:val="0"/>
          <w:lang w:val="es-ES"/>
        </w:rPr>
        <w:t>piperacilina/tazobactam</w:t>
      </w:r>
      <w:r w:rsidRPr="00BA0BB9">
        <w:rPr>
          <w:rFonts w:asciiTheme="minorHAnsi" w:hAnsiTheme="minorHAnsi" w:cstheme="minorHAnsi"/>
          <w:lang w:val="es-ES"/>
        </w:rPr>
        <w:t>, aumenta la supervivencia en pacientes con sepsis y enfermedad crítica.</w:t>
      </w:r>
    </w:p>
    <w:p w14:paraId="695B1901" w14:textId="4CA565DD" w:rsidR="00633ABE" w:rsidRPr="00BA0BB9" w:rsidRDefault="00633ABE" w:rsidP="00633ABE">
      <w:pPr>
        <w:spacing w:line="360" w:lineRule="auto"/>
        <w:rPr>
          <w:rFonts w:asciiTheme="minorHAnsi" w:hAnsiTheme="minorHAnsi" w:cstheme="minorHAnsi"/>
          <w:lang w:val="es-ES"/>
        </w:rPr>
      </w:pPr>
    </w:p>
    <w:p w14:paraId="66DB38F1" w14:textId="77777777" w:rsidR="00633ABE" w:rsidRPr="00BA0BB9" w:rsidRDefault="00633ABE" w:rsidP="00D5578B">
      <w:pPr>
        <w:pStyle w:val="BodyText"/>
        <w:spacing w:line="360" w:lineRule="auto"/>
        <w:rPr>
          <w:rFonts w:asciiTheme="minorHAnsi" w:hAnsiTheme="minorHAnsi" w:cstheme="minorHAnsi"/>
          <w:b/>
          <w:bCs/>
          <w:sz w:val="24"/>
          <w:szCs w:val="24"/>
          <w:lang w:val="es-ES"/>
        </w:rPr>
      </w:pPr>
      <w:r w:rsidRPr="00BA0BB9">
        <w:rPr>
          <w:rFonts w:asciiTheme="minorHAnsi" w:hAnsiTheme="minorHAnsi" w:cstheme="minorHAnsi"/>
          <w:b/>
          <w:bCs/>
          <w:sz w:val="24"/>
          <w:szCs w:val="24"/>
          <w:lang w:val="es-ES"/>
        </w:rPr>
        <w:t>Procedimientos prácticos</w:t>
      </w:r>
    </w:p>
    <w:p w14:paraId="03245FE1"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El ensayo clínico se realiza en hospitales de Escandinavia y del mundo. Su familiar recibirá uno de los antibióticos mencionados según las pautas nacionales e internacionales para el tratamiento de la sepsis. La asignación del antibiótico es </w:t>
      </w:r>
      <w:r w:rsidRPr="00BA0BB9">
        <w:rPr>
          <w:rStyle w:val="Strong"/>
          <w:rFonts w:asciiTheme="minorHAnsi" w:hAnsiTheme="minorHAnsi" w:cstheme="minorHAnsi"/>
          <w:b w:val="0"/>
          <w:bCs w:val="0"/>
          <w:lang w:val="es-ES"/>
        </w:rPr>
        <w:t>aleatoria</w:t>
      </w:r>
      <w:r w:rsidRPr="00BA0BB9">
        <w:rPr>
          <w:rFonts w:asciiTheme="minorHAnsi" w:hAnsiTheme="minorHAnsi" w:cstheme="minorHAnsi"/>
          <w:b/>
          <w:bCs/>
          <w:lang w:val="es-ES"/>
        </w:rPr>
        <w:t>.</w:t>
      </w:r>
      <w:r w:rsidRPr="00BA0BB9">
        <w:rPr>
          <w:rFonts w:asciiTheme="minorHAnsi" w:hAnsiTheme="minorHAnsi" w:cstheme="minorHAnsi"/>
          <w:lang w:val="es-ES"/>
        </w:rPr>
        <w:t xml:space="preserve"> El tratamiento durará hasta 30 días.</w:t>
      </w:r>
    </w:p>
    <w:p w14:paraId="257EE48D"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lastRenderedPageBreak/>
        <w:t>Mientras su familiar esté hospitalizado, recopilaremos datos de su historia clínica sobre su estado de salud previo a la enfermedad y durante la hospitalización, relacionados con la progresión de la enfermedad y el tratamiento. Estos datos se utilizan para evaluar los efectos y la seguridad de los dos tratamientos.</w:t>
      </w:r>
    </w:p>
    <w:p w14:paraId="1012B657"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Al final del ensayo, registraremos:</w:t>
      </w:r>
    </w:p>
    <w:p w14:paraId="38E9EC2A" w14:textId="77777777" w:rsidR="00633ABE" w:rsidRPr="00BA0BB9" w:rsidRDefault="00633ABE" w:rsidP="00633ABE">
      <w:pPr>
        <w:pStyle w:val="NormalWeb"/>
        <w:numPr>
          <w:ilvl w:val="0"/>
          <w:numId w:val="12"/>
        </w:numPr>
        <w:spacing w:line="360" w:lineRule="auto"/>
        <w:rPr>
          <w:rFonts w:asciiTheme="minorHAnsi" w:hAnsiTheme="minorHAnsi" w:cstheme="minorHAnsi"/>
          <w:lang w:val="es-ES"/>
        </w:rPr>
      </w:pPr>
      <w:r w:rsidRPr="00BA0BB9">
        <w:rPr>
          <w:rFonts w:asciiTheme="minorHAnsi" w:hAnsiTheme="minorHAnsi" w:cstheme="minorHAnsi"/>
          <w:lang w:val="es-ES"/>
        </w:rPr>
        <w:t>Número de participantes que sobrevivieron</w:t>
      </w:r>
    </w:p>
    <w:p w14:paraId="0115E8D2" w14:textId="77777777" w:rsidR="00633ABE" w:rsidRPr="00BA0BB9" w:rsidRDefault="00633ABE" w:rsidP="00633ABE">
      <w:pPr>
        <w:pStyle w:val="NormalWeb"/>
        <w:numPr>
          <w:ilvl w:val="0"/>
          <w:numId w:val="12"/>
        </w:numPr>
        <w:spacing w:line="360" w:lineRule="auto"/>
        <w:rPr>
          <w:rFonts w:asciiTheme="minorHAnsi" w:hAnsiTheme="minorHAnsi" w:cstheme="minorHAnsi"/>
          <w:lang w:val="es-ES"/>
        </w:rPr>
      </w:pPr>
      <w:r w:rsidRPr="00BA0BB9">
        <w:rPr>
          <w:rFonts w:asciiTheme="minorHAnsi" w:hAnsiTheme="minorHAnsi" w:cstheme="minorHAnsi"/>
          <w:lang w:val="es-ES"/>
        </w:rPr>
        <w:t>Número de participantes que experimentaron efectos secundarios o fueron aislados por bacterias resistentes</w:t>
      </w:r>
    </w:p>
    <w:p w14:paraId="4091606F" w14:textId="77777777" w:rsidR="00633ABE" w:rsidRPr="00BA0BB9" w:rsidRDefault="00633ABE" w:rsidP="00633ABE">
      <w:pPr>
        <w:pStyle w:val="NormalWeb"/>
        <w:numPr>
          <w:ilvl w:val="0"/>
          <w:numId w:val="12"/>
        </w:numPr>
        <w:spacing w:line="360" w:lineRule="auto"/>
        <w:rPr>
          <w:rFonts w:asciiTheme="minorHAnsi" w:hAnsiTheme="minorHAnsi" w:cstheme="minorHAnsi"/>
          <w:lang w:val="es-ES"/>
        </w:rPr>
      </w:pPr>
      <w:r w:rsidRPr="00BA0BB9">
        <w:rPr>
          <w:rFonts w:asciiTheme="minorHAnsi" w:hAnsiTheme="minorHAnsi" w:cstheme="minorHAnsi"/>
          <w:lang w:val="es-ES"/>
        </w:rPr>
        <w:t>Duración del soporte vital recibido</w:t>
      </w:r>
    </w:p>
    <w:p w14:paraId="242D593F" w14:textId="77777777" w:rsidR="00633ABE" w:rsidRPr="00BA0BB9" w:rsidRDefault="00633ABE" w:rsidP="00633ABE">
      <w:pPr>
        <w:pStyle w:val="NormalWeb"/>
        <w:numPr>
          <w:ilvl w:val="0"/>
          <w:numId w:val="12"/>
        </w:numPr>
        <w:spacing w:line="360" w:lineRule="auto"/>
        <w:rPr>
          <w:rFonts w:asciiTheme="minorHAnsi" w:hAnsiTheme="minorHAnsi" w:cstheme="minorHAnsi"/>
          <w:lang w:val="es-ES"/>
        </w:rPr>
      </w:pPr>
      <w:r w:rsidRPr="00BA0BB9">
        <w:rPr>
          <w:rFonts w:asciiTheme="minorHAnsi" w:hAnsiTheme="minorHAnsi" w:cstheme="minorHAnsi"/>
          <w:lang w:val="es-ES"/>
        </w:rPr>
        <w:t>Duración de la hospitalización</w:t>
      </w:r>
    </w:p>
    <w:p w14:paraId="7AC5796F"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A los 90 y 180 días después de la participación, nos pondremos en contacto con su familiar o un familiar cercano por teléfono o por escrito para preguntar sobre la </w:t>
      </w:r>
      <w:r w:rsidRPr="00BA0BB9">
        <w:rPr>
          <w:rStyle w:val="Strong"/>
          <w:rFonts w:asciiTheme="minorHAnsi" w:hAnsiTheme="minorHAnsi" w:cstheme="minorHAnsi"/>
          <w:b w:val="0"/>
          <w:bCs w:val="0"/>
          <w:lang w:val="es-ES"/>
        </w:rPr>
        <w:t>calidad de vida relacionada</w:t>
      </w:r>
      <w:r w:rsidRPr="00BA0BB9">
        <w:rPr>
          <w:rStyle w:val="Strong"/>
          <w:rFonts w:asciiTheme="minorHAnsi" w:hAnsiTheme="minorHAnsi" w:cstheme="minorHAnsi"/>
          <w:lang w:val="es-ES"/>
        </w:rPr>
        <w:t xml:space="preserve"> </w:t>
      </w:r>
      <w:r w:rsidRPr="00BA0BB9">
        <w:rPr>
          <w:rStyle w:val="Strong"/>
          <w:rFonts w:asciiTheme="minorHAnsi" w:hAnsiTheme="minorHAnsi" w:cstheme="minorHAnsi"/>
          <w:b w:val="0"/>
          <w:bCs w:val="0"/>
          <w:lang w:val="es-ES"/>
        </w:rPr>
        <w:t>con la salud</w:t>
      </w:r>
      <w:r w:rsidRPr="00BA0BB9">
        <w:rPr>
          <w:rFonts w:asciiTheme="minorHAnsi" w:hAnsiTheme="minorHAnsi" w:cstheme="minorHAnsi"/>
          <w:lang w:val="es-ES"/>
        </w:rPr>
        <w:t>.</w:t>
      </w:r>
    </w:p>
    <w:p w14:paraId="04D09655"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El ensayo clínico es </w:t>
      </w:r>
      <w:r w:rsidRPr="00BA0BB9">
        <w:rPr>
          <w:rStyle w:val="Strong"/>
          <w:rFonts w:asciiTheme="minorHAnsi" w:hAnsiTheme="minorHAnsi" w:cstheme="minorHAnsi"/>
          <w:b w:val="0"/>
          <w:bCs w:val="0"/>
          <w:lang w:val="es-ES"/>
        </w:rPr>
        <w:t>no ciego</w:t>
      </w:r>
      <w:r w:rsidRPr="00BA0BB9">
        <w:rPr>
          <w:rFonts w:asciiTheme="minorHAnsi" w:hAnsiTheme="minorHAnsi" w:cstheme="minorHAnsi"/>
          <w:lang w:val="es-ES"/>
        </w:rPr>
        <w:t>, lo que significa que su familiar puede ser informado sobre qué tipo de antibiótico recibió y puede preguntar sobre ello durante las consultas programadas con el médico responsable del ensayo u otro miembro del equipo del ensayo.</w:t>
      </w:r>
    </w:p>
    <w:p w14:paraId="5123E9DC" w14:textId="22F49B78" w:rsidR="00633ABE" w:rsidRPr="00BA0BB9" w:rsidRDefault="00633ABE" w:rsidP="00633ABE">
      <w:pPr>
        <w:spacing w:line="360" w:lineRule="auto"/>
        <w:rPr>
          <w:rFonts w:asciiTheme="minorHAnsi" w:hAnsiTheme="minorHAnsi" w:cstheme="minorHAnsi"/>
          <w:lang w:val="es-ES"/>
        </w:rPr>
      </w:pPr>
    </w:p>
    <w:p w14:paraId="69CF727D" w14:textId="77777777" w:rsidR="00633ABE" w:rsidRPr="00BA0BB9" w:rsidRDefault="00633ABE" w:rsidP="00D5578B">
      <w:pPr>
        <w:pStyle w:val="BodyText"/>
        <w:spacing w:line="360" w:lineRule="auto"/>
        <w:rPr>
          <w:rFonts w:asciiTheme="minorHAnsi" w:hAnsiTheme="minorHAnsi" w:cstheme="minorHAnsi"/>
          <w:b/>
          <w:bCs/>
          <w:sz w:val="24"/>
          <w:szCs w:val="24"/>
          <w:lang w:val="es-ES"/>
        </w:rPr>
      </w:pPr>
      <w:r w:rsidRPr="00BA0BB9">
        <w:rPr>
          <w:rFonts w:asciiTheme="minorHAnsi" w:hAnsiTheme="minorHAnsi" w:cstheme="minorHAnsi"/>
          <w:b/>
          <w:bCs/>
          <w:sz w:val="24"/>
          <w:szCs w:val="24"/>
          <w:lang w:val="es-ES"/>
        </w:rPr>
        <w:t>Beneficios del ensayo clínico</w:t>
      </w:r>
    </w:p>
    <w:p w14:paraId="56680FE2"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No podemos garantizar que su familiar se beneficie directamente de participar. Sabemos que ambos antibióticos aumentan la supervivencia en pacientes con sepsis, pero no sabemos cuál es el mejor ni el que tiene menos efectos secundarios. La participación de su familiar contribuye a mejorar la comprensión sobre cómo tratar mejor la sepsis.</w:t>
      </w:r>
    </w:p>
    <w:p w14:paraId="71362F35"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El ensayo implica </w:t>
      </w:r>
      <w:r w:rsidRPr="00BA0BB9">
        <w:rPr>
          <w:rStyle w:val="Strong"/>
          <w:rFonts w:asciiTheme="minorHAnsi" w:hAnsiTheme="minorHAnsi" w:cstheme="minorHAnsi"/>
          <w:b w:val="0"/>
          <w:bCs w:val="0"/>
          <w:lang w:val="es-ES"/>
        </w:rPr>
        <w:t>riesgos mínimos</w:t>
      </w:r>
      <w:r w:rsidRPr="00BA0BB9">
        <w:rPr>
          <w:rFonts w:asciiTheme="minorHAnsi" w:hAnsiTheme="minorHAnsi" w:cstheme="minorHAnsi"/>
          <w:lang w:val="es-ES"/>
        </w:rPr>
        <w:t>, ya que los pacientes con mayor riesgo de efectos adversos no son elegibles y ambos antibióticos ya se usan de manera rutinaria. Creemos que los resultados del ensayo ayudarán a mejorar el tratamiento de futuros pacientes con sepsis.</w:t>
      </w:r>
    </w:p>
    <w:p w14:paraId="46BE09DA" w14:textId="721BC88F" w:rsidR="00633ABE" w:rsidRPr="00BA0BB9" w:rsidRDefault="00633ABE" w:rsidP="00633ABE">
      <w:pPr>
        <w:spacing w:line="360" w:lineRule="auto"/>
        <w:rPr>
          <w:rFonts w:asciiTheme="minorHAnsi" w:hAnsiTheme="minorHAnsi" w:cstheme="minorHAnsi"/>
          <w:lang w:val="es-ES"/>
        </w:rPr>
      </w:pPr>
    </w:p>
    <w:p w14:paraId="038CC4F1" w14:textId="77777777" w:rsidR="00633ABE" w:rsidRPr="00BA0BB9" w:rsidRDefault="00633ABE" w:rsidP="00D5578B">
      <w:pPr>
        <w:pStyle w:val="BodyText"/>
        <w:spacing w:line="360" w:lineRule="auto"/>
        <w:rPr>
          <w:rFonts w:asciiTheme="minorHAnsi" w:hAnsiTheme="minorHAnsi" w:cstheme="minorHAnsi"/>
          <w:b/>
          <w:bCs/>
          <w:sz w:val="24"/>
          <w:szCs w:val="24"/>
          <w:lang w:val="es-ES"/>
        </w:rPr>
      </w:pPr>
      <w:r w:rsidRPr="00BA0BB9">
        <w:rPr>
          <w:rFonts w:asciiTheme="minorHAnsi" w:hAnsiTheme="minorHAnsi" w:cstheme="minorHAnsi"/>
          <w:b/>
          <w:bCs/>
          <w:sz w:val="24"/>
          <w:szCs w:val="24"/>
          <w:lang w:val="es-ES"/>
        </w:rPr>
        <w:t>Evaluación de la participación de su familiar</w:t>
      </w:r>
    </w:p>
    <w:p w14:paraId="4A6C15BC"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Dado que este ensayo clínico se considera </w:t>
      </w:r>
      <w:r w:rsidRPr="00BA0BB9">
        <w:rPr>
          <w:rStyle w:val="Strong"/>
          <w:rFonts w:asciiTheme="minorHAnsi" w:hAnsiTheme="minorHAnsi" w:cstheme="minorHAnsi"/>
          <w:b w:val="0"/>
          <w:bCs w:val="0"/>
          <w:lang w:val="es-ES"/>
        </w:rPr>
        <w:t>ensayo de emergencia</w:t>
      </w:r>
      <w:r w:rsidRPr="00BA0BB9">
        <w:rPr>
          <w:rFonts w:asciiTheme="minorHAnsi" w:hAnsiTheme="minorHAnsi" w:cstheme="minorHAnsi"/>
          <w:b/>
          <w:bCs/>
          <w:lang w:val="es-ES"/>
        </w:rPr>
        <w:t>,</w:t>
      </w:r>
      <w:r w:rsidRPr="00BA0BB9">
        <w:rPr>
          <w:rFonts w:asciiTheme="minorHAnsi" w:hAnsiTheme="minorHAnsi" w:cstheme="minorHAnsi"/>
          <w:lang w:val="es-ES"/>
        </w:rPr>
        <w:t xml:space="preserve"> su familiar ya fue incluido según los criterios de inclusión y exclusión. Estos criterios fueron cuidadosamente aplicados por los profesionales responsables de su tratamiento para garantizar el cumplimiento de las pautas del ensayo.</w:t>
      </w:r>
    </w:p>
    <w:p w14:paraId="2F8AB260" w14:textId="77777777" w:rsidR="00633ABE" w:rsidRPr="00BA0BB9" w:rsidRDefault="00633ABE" w:rsidP="00633ABE">
      <w:pPr>
        <w:pStyle w:val="NormalWeb"/>
        <w:spacing w:line="360" w:lineRule="auto"/>
        <w:rPr>
          <w:rFonts w:asciiTheme="minorHAnsi" w:hAnsiTheme="minorHAnsi" w:cstheme="minorHAnsi"/>
          <w:lang w:val="es-ES"/>
        </w:rPr>
      </w:pPr>
      <w:r w:rsidRPr="00BA0BB9">
        <w:rPr>
          <w:rStyle w:val="Strong"/>
          <w:rFonts w:asciiTheme="minorHAnsi" w:hAnsiTheme="minorHAnsi" w:cstheme="minorHAnsi"/>
          <w:lang w:val="es-ES"/>
        </w:rPr>
        <w:t>Criterios cumplidos por su familiar:</w:t>
      </w:r>
    </w:p>
    <w:p w14:paraId="76E9E7FC" w14:textId="77777777" w:rsidR="00633ABE" w:rsidRPr="00BA0BB9" w:rsidRDefault="00633ABE" w:rsidP="00633ABE">
      <w:pPr>
        <w:pStyle w:val="NormalWeb"/>
        <w:numPr>
          <w:ilvl w:val="0"/>
          <w:numId w:val="13"/>
        </w:numPr>
        <w:spacing w:line="360" w:lineRule="auto"/>
        <w:rPr>
          <w:rFonts w:asciiTheme="minorHAnsi" w:hAnsiTheme="minorHAnsi" w:cstheme="minorHAnsi"/>
          <w:lang w:val="es-ES"/>
        </w:rPr>
      </w:pPr>
      <w:r w:rsidRPr="00BA0BB9">
        <w:rPr>
          <w:rFonts w:asciiTheme="minorHAnsi" w:hAnsiTheme="minorHAnsi" w:cstheme="minorHAnsi"/>
          <w:lang w:val="es-ES"/>
        </w:rPr>
        <w:t>Tiene 18 años o más</w:t>
      </w:r>
    </w:p>
    <w:p w14:paraId="0675A9F5" w14:textId="77777777" w:rsidR="00633ABE" w:rsidRPr="00BA0BB9" w:rsidRDefault="00633ABE" w:rsidP="00633ABE">
      <w:pPr>
        <w:pStyle w:val="NormalWeb"/>
        <w:numPr>
          <w:ilvl w:val="0"/>
          <w:numId w:val="13"/>
        </w:numPr>
        <w:spacing w:line="360" w:lineRule="auto"/>
        <w:rPr>
          <w:rFonts w:asciiTheme="minorHAnsi" w:hAnsiTheme="minorHAnsi" w:cstheme="minorHAnsi"/>
          <w:lang w:val="es-ES"/>
        </w:rPr>
      </w:pPr>
      <w:r w:rsidRPr="00BA0BB9">
        <w:rPr>
          <w:rFonts w:asciiTheme="minorHAnsi" w:hAnsiTheme="minorHAnsi" w:cstheme="minorHAnsi"/>
          <w:lang w:val="es-ES"/>
        </w:rPr>
        <w:t>Presenta sepsis y enfermedad crítica que requiere oxígeno suplementario, soporte respiratorio o soporte circulatorio</w:t>
      </w:r>
    </w:p>
    <w:p w14:paraId="6B05D5C5" w14:textId="77777777" w:rsidR="00633ABE" w:rsidRPr="00BA0BB9" w:rsidRDefault="00633ABE" w:rsidP="00633ABE">
      <w:pPr>
        <w:pStyle w:val="NormalWeb"/>
        <w:spacing w:line="360" w:lineRule="auto"/>
        <w:rPr>
          <w:rFonts w:asciiTheme="minorHAnsi" w:hAnsiTheme="minorHAnsi" w:cstheme="minorHAnsi"/>
          <w:lang w:val="es-ES"/>
        </w:rPr>
      </w:pPr>
      <w:r w:rsidRPr="00BA0BB9">
        <w:rPr>
          <w:rStyle w:val="Strong"/>
          <w:rFonts w:asciiTheme="minorHAnsi" w:hAnsiTheme="minorHAnsi" w:cstheme="minorHAnsi"/>
          <w:lang w:val="es-ES"/>
        </w:rPr>
        <w:t>Criterios NO cumplidos por su familiar:</w:t>
      </w:r>
    </w:p>
    <w:p w14:paraId="59E6E87E" w14:textId="77777777" w:rsidR="00633ABE" w:rsidRPr="00BA0BB9" w:rsidRDefault="00633ABE" w:rsidP="00633ABE">
      <w:pPr>
        <w:pStyle w:val="NormalWeb"/>
        <w:numPr>
          <w:ilvl w:val="0"/>
          <w:numId w:val="14"/>
        </w:numPr>
        <w:spacing w:line="360" w:lineRule="auto"/>
        <w:rPr>
          <w:rFonts w:asciiTheme="minorHAnsi" w:hAnsiTheme="minorHAnsi" w:cstheme="minorHAnsi"/>
          <w:lang w:val="es-ES"/>
        </w:rPr>
      </w:pPr>
      <w:r w:rsidRPr="00BA0BB9">
        <w:rPr>
          <w:rFonts w:asciiTheme="minorHAnsi" w:hAnsiTheme="minorHAnsi" w:cstheme="minorHAnsi"/>
          <w:lang w:val="es-ES"/>
        </w:rPr>
        <w:t>No ha recibido tratamiento con meropenem o piperacilina/tazobactam por más de un día antes del ensayo</w:t>
      </w:r>
    </w:p>
    <w:p w14:paraId="0A720244" w14:textId="77777777" w:rsidR="00633ABE" w:rsidRPr="00BA0BB9" w:rsidRDefault="00633ABE" w:rsidP="00633ABE">
      <w:pPr>
        <w:pStyle w:val="NormalWeb"/>
        <w:numPr>
          <w:ilvl w:val="0"/>
          <w:numId w:val="14"/>
        </w:numPr>
        <w:spacing w:line="360" w:lineRule="auto"/>
        <w:rPr>
          <w:rFonts w:asciiTheme="minorHAnsi" w:hAnsiTheme="minorHAnsi" w:cstheme="minorHAnsi"/>
          <w:lang w:val="es-ES"/>
        </w:rPr>
      </w:pPr>
      <w:r w:rsidRPr="00BA0BB9">
        <w:rPr>
          <w:rFonts w:asciiTheme="minorHAnsi" w:hAnsiTheme="minorHAnsi" w:cstheme="minorHAnsi"/>
          <w:lang w:val="es-ES"/>
        </w:rPr>
        <w:t>No es alérgico o hipersensible a penicilinas u otros antibióticos del mismo tipo</w:t>
      </w:r>
    </w:p>
    <w:p w14:paraId="52CDB209" w14:textId="77777777" w:rsidR="00633ABE" w:rsidRPr="00BA0BB9" w:rsidRDefault="00633ABE" w:rsidP="00633ABE">
      <w:pPr>
        <w:pStyle w:val="NormalWeb"/>
        <w:numPr>
          <w:ilvl w:val="0"/>
          <w:numId w:val="14"/>
        </w:numPr>
        <w:spacing w:line="360" w:lineRule="auto"/>
        <w:rPr>
          <w:rFonts w:asciiTheme="minorHAnsi" w:hAnsiTheme="minorHAnsi" w:cstheme="minorHAnsi"/>
          <w:lang w:val="es-ES"/>
        </w:rPr>
      </w:pPr>
      <w:r w:rsidRPr="00BA0BB9">
        <w:rPr>
          <w:rFonts w:asciiTheme="minorHAnsi" w:hAnsiTheme="minorHAnsi" w:cstheme="minorHAnsi"/>
          <w:lang w:val="es-ES"/>
        </w:rPr>
        <w:t>No tiene infección cerebral o de meninges sospechada o confirmada</w:t>
      </w:r>
    </w:p>
    <w:p w14:paraId="3833DA1D" w14:textId="77777777" w:rsidR="00633ABE" w:rsidRPr="00BA0BB9" w:rsidRDefault="00633ABE" w:rsidP="00633ABE">
      <w:pPr>
        <w:pStyle w:val="NormalWeb"/>
        <w:numPr>
          <w:ilvl w:val="0"/>
          <w:numId w:val="14"/>
        </w:numPr>
        <w:spacing w:line="360" w:lineRule="auto"/>
        <w:rPr>
          <w:rFonts w:asciiTheme="minorHAnsi" w:hAnsiTheme="minorHAnsi" w:cstheme="minorHAnsi"/>
          <w:lang w:val="es-ES"/>
        </w:rPr>
      </w:pPr>
      <w:r w:rsidRPr="00BA0BB9">
        <w:rPr>
          <w:rFonts w:asciiTheme="minorHAnsi" w:hAnsiTheme="minorHAnsi" w:cstheme="minorHAnsi"/>
          <w:lang w:val="es-ES"/>
        </w:rPr>
        <w:t>No tiene infección con bacterias resistentes a los antibióticos mencionados en los últimos tres meses</w:t>
      </w:r>
    </w:p>
    <w:p w14:paraId="38435204" w14:textId="77777777" w:rsidR="00633ABE" w:rsidRPr="00BA0BB9" w:rsidRDefault="00633ABE" w:rsidP="00633ABE">
      <w:pPr>
        <w:pStyle w:val="NormalWeb"/>
        <w:numPr>
          <w:ilvl w:val="0"/>
          <w:numId w:val="14"/>
        </w:numPr>
        <w:spacing w:line="360" w:lineRule="auto"/>
        <w:rPr>
          <w:rFonts w:asciiTheme="minorHAnsi" w:hAnsiTheme="minorHAnsi" w:cstheme="minorHAnsi"/>
          <w:lang w:val="es-ES"/>
        </w:rPr>
      </w:pPr>
      <w:r w:rsidRPr="00BA0BB9">
        <w:rPr>
          <w:rFonts w:asciiTheme="minorHAnsi" w:hAnsiTheme="minorHAnsi" w:cstheme="minorHAnsi"/>
          <w:lang w:val="es-ES"/>
        </w:rPr>
        <w:t>No está en tratamiento con valproato</w:t>
      </w:r>
    </w:p>
    <w:p w14:paraId="7E15E508" w14:textId="23610147" w:rsidR="00633ABE" w:rsidRPr="00BA0BB9" w:rsidRDefault="00633ABE" w:rsidP="00B21574">
      <w:pPr>
        <w:pStyle w:val="NormalWeb"/>
        <w:numPr>
          <w:ilvl w:val="0"/>
          <w:numId w:val="14"/>
        </w:numPr>
        <w:spacing w:line="360" w:lineRule="auto"/>
        <w:rPr>
          <w:rFonts w:asciiTheme="minorHAnsi" w:hAnsiTheme="minorHAnsi" w:cstheme="minorHAnsi"/>
          <w:lang w:val="es-ES"/>
        </w:rPr>
      </w:pPr>
      <w:r w:rsidRPr="00BA0BB9">
        <w:rPr>
          <w:rFonts w:asciiTheme="minorHAnsi" w:hAnsiTheme="minorHAnsi" w:cstheme="minorHAnsi"/>
          <w:lang w:val="es-ES"/>
        </w:rPr>
        <w:t>No está embarazada</w:t>
      </w:r>
    </w:p>
    <w:p w14:paraId="5EA65578" w14:textId="77777777" w:rsidR="00D5578B" w:rsidRPr="00BA0BB9" w:rsidRDefault="00633ABE" w:rsidP="00633ABE">
      <w:pPr>
        <w:pStyle w:val="NormalWeb"/>
        <w:spacing w:line="360" w:lineRule="auto"/>
        <w:rPr>
          <w:rStyle w:val="Strong"/>
          <w:rFonts w:asciiTheme="minorHAnsi" w:hAnsiTheme="minorHAnsi" w:cstheme="minorHAnsi"/>
          <w:lang w:val="es-ES"/>
        </w:rPr>
      </w:pPr>
      <w:r w:rsidRPr="00BA0BB9">
        <w:rPr>
          <w:rStyle w:val="Strong"/>
          <w:rFonts w:asciiTheme="minorHAnsi" w:hAnsiTheme="minorHAnsi" w:cstheme="minorHAnsi"/>
          <w:lang w:val="es-ES"/>
        </w:rPr>
        <w:t>Retiro del ensayo clínico</w:t>
      </w:r>
    </w:p>
    <w:p w14:paraId="10CDC3BF" w14:textId="1968A59E" w:rsidR="00633ABE" w:rsidRPr="00BA0BB9" w:rsidRDefault="00633ABE" w:rsidP="00633ABE">
      <w:pPr>
        <w:pStyle w:val="NormalWeb"/>
        <w:spacing w:line="360" w:lineRule="auto"/>
        <w:rPr>
          <w:rFonts w:asciiTheme="minorHAnsi" w:hAnsiTheme="minorHAnsi" w:cstheme="minorHAnsi"/>
          <w:b/>
          <w:bCs/>
          <w:lang w:val="es-ES"/>
        </w:rPr>
      </w:pPr>
      <w:r w:rsidRPr="00BA0BB9">
        <w:rPr>
          <w:rFonts w:asciiTheme="minorHAnsi" w:hAnsiTheme="minorHAnsi" w:cstheme="minorHAnsi"/>
          <w:lang w:val="es-ES"/>
        </w:rPr>
        <w:t xml:space="preserve">Puede retirar a su familiar en cualquier momento sin dar razón. Esto </w:t>
      </w:r>
      <w:r w:rsidRPr="00BA0BB9">
        <w:rPr>
          <w:rStyle w:val="Strong"/>
          <w:rFonts w:asciiTheme="minorHAnsi" w:hAnsiTheme="minorHAnsi" w:cstheme="minorHAnsi"/>
          <w:b w:val="0"/>
          <w:bCs w:val="0"/>
          <w:lang w:val="es-ES"/>
        </w:rPr>
        <w:t>no afectará</w:t>
      </w:r>
      <w:r w:rsidRPr="00BA0BB9">
        <w:rPr>
          <w:rFonts w:asciiTheme="minorHAnsi" w:hAnsiTheme="minorHAnsi" w:cstheme="minorHAnsi"/>
          <w:b/>
          <w:bCs/>
          <w:lang w:val="es-ES"/>
        </w:rPr>
        <w:t xml:space="preserve"> </w:t>
      </w:r>
      <w:r w:rsidRPr="00BA0BB9">
        <w:rPr>
          <w:rFonts w:asciiTheme="minorHAnsi" w:hAnsiTheme="minorHAnsi" w:cstheme="minorHAnsi"/>
          <w:lang w:val="es-ES"/>
        </w:rPr>
        <w:t>la relación con los médicos ni el tratamiento del paciente. Su familiar continuará recibiendo el mismo tratamiento que otros pacientes.</w:t>
      </w:r>
    </w:p>
    <w:p w14:paraId="40DB39AC"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lastRenderedPageBreak/>
        <w:t xml:space="preserve">Si decide retirar a su familiar, un médico responsable del ensayo preguntará si permite que </w:t>
      </w:r>
      <w:r w:rsidRPr="00BA0BB9">
        <w:rPr>
          <w:rStyle w:val="Strong"/>
          <w:rFonts w:asciiTheme="minorHAnsi" w:hAnsiTheme="minorHAnsi" w:cstheme="minorHAnsi"/>
          <w:b w:val="0"/>
          <w:bCs w:val="0"/>
          <w:lang w:val="es-ES"/>
        </w:rPr>
        <w:t>los datos sigan siendo recopilados y evaluados</w:t>
      </w:r>
      <w:r w:rsidRPr="00BA0BB9">
        <w:rPr>
          <w:rFonts w:asciiTheme="minorHAnsi" w:hAnsiTheme="minorHAnsi" w:cstheme="minorHAnsi"/>
          <w:b/>
          <w:bCs/>
          <w:lang w:val="es-ES"/>
        </w:rPr>
        <w:t xml:space="preserve"> </w:t>
      </w:r>
      <w:r w:rsidRPr="00BA0BB9">
        <w:rPr>
          <w:rFonts w:asciiTheme="minorHAnsi" w:hAnsiTheme="minorHAnsi" w:cstheme="minorHAnsi"/>
          <w:lang w:val="es-ES"/>
        </w:rPr>
        <w:t>hasta 180 días después, incluso tras la interrupción del tratamiento del ensayo.</w:t>
      </w:r>
    </w:p>
    <w:p w14:paraId="00BCDB54" w14:textId="3F96AA3E" w:rsidR="00633ABE" w:rsidRPr="00BA0BB9" w:rsidRDefault="00633ABE" w:rsidP="00B21574">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Si no otorga su consentimiento por apoderado, también tiene derecho a </w:t>
      </w:r>
      <w:r w:rsidRPr="00BA0BB9">
        <w:rPr>
          <w:rStyle w:val="Strong"/>
          <w:rFonts w:asciiTheme="minorHAnsi" w:hAnsiTheme="minorHAnsi" w:cstheme="minorHAnsi"/>
          <w:b w:val="0"/>
          <w:bCs w:val="0"/>
          <w:lang w:val="es-ES"/>
        </w:rPr>
        <w:t>oponerse al uso de los datos</w:t>
      </w:r>
      <w:r w:rsidRPr="00BA0BB9">
        <w:rPr>
          <w:rFonts w:asciiTheme="minorHAnsi" w:hAnsiTheme="minorHAnsi" w:cstheme="minorHAnsi"/>
          <w:lang w:val="es-ES"/>
        </w:rPr>
        <w:t xml:space="preserve"> obtenidos durante la participación.</w:t>
      </w:r>
    </w:p>
    <w:p w14:paraId="4BAC1A47" w14:textId="77777777" w:rsidR="00B21574" w:rsidRPr="00BA0BB9" w:rsidRDefault="00633ABE" w:rsidP="00633ABE">
      <w:pPr>
        <w:pStyle w:val="NormalWeb"/>
        <w:spacing w:line="360" w:lineRule="auto"/>
        <w:rPr>
          <w:rStyle w:val="Strong"/>
          <w:rFonts w:asciiTheme="minorHAnsi" w:hAnsiTheme="minorHAnsi" w:cstheme="minorHAnsi"/>
          <w:lang w:val="es-ES"/>
        </w:rPr>
      </w:pPr>
      <w:r w:rsidRPr="00BA0BB9">
        <w:rPr>
          <w:rStyle w:val="Strong"/>
          <w:rFonts w:asciiTheme="minorHAnsi" w:hAnsiTheme="minorHAnsi" w:cstheme="minorHAnsi"/>
          <w:lang w:val="es-ES"/>
        </w:rPr>
        <w:t>Desventajas</w:t>
      </w:r>
    </w:p>
    <w:p w14:paraId="19CAE9FC" w14:textId="768E49A4" w:rsidR="00633ABE" w:rsidRPr="00BA0BB9" w:rsidRDefault="00633ABE" w:rsidP="00633ABE">
      <w:pPr>
        <w:pStyle w:val="NormalWeb"/>
        <w:spacing w:line="360" w:lineRule="auto"/>
        <w:rPr>
          <w:b/>
          <w:bCs/>
          <w:lang w:val="es-ES"/>
        </w:rPr>
      </w:pPr>
      <w:r w:rsidRPr="00BA0BB9">
        <w:rPr>
          <w:rFonts w:asciiTheme="minorHAnsi" w:hAnsiTheme="minorHAnsi" w:cstheme="minorHAnsi"/>
          <w:lang w:val="es-ES"/>
        </w:rPr>
        <w:t>Los medicamentos utilizados son productos médicos muy habituales. Su seguridad y efectos secundarios son bien conocidos. Sin embargo, pueden presentarse reacciones inesperadas o complicaciones.</w:t>
      </w:r>
    </w:p>
    <w:p w14:paraId="62E0DBA1" w14:textId="238AF7DF" w:rsidR="00633ABE" w:rsidRPr="00BA0BB9" w:rsidRDefault="00633ABE" w:rsidP="00B21574">
      <w:pPr>
        <w:pStyle w:val="NormalWeb"/>
        <w:spacing w:line="360" w:lineRule="auto"/>
        <w:rPr>
          <w:rFonts w:asciiTheme="minorHAnsi" w:hAnsiTheme="minorHAnsi" w:cstheme="minorHAnsi"/>
          <w:lang w:val="es-ES"/>
        </w:rPr>
      </w:pPr>
      <w:r w:rsidRPr="00BA0BB9">
        <w:rPr>
          <w:rStyle w:val="Strong"/>
          <w:rFonts w:asciiTheme="minorHAnsi" w:hAnsiTheme="minorHAnsi" w:cstheme="minorHAnsi"/>
          <w:b w:val="0"/>
          <w:bCs w:val="0"/>
          <w:lang w:val="es-ES"/>
        </w:rPr>
        <w:t>Efectos secundarios más comunes:</w:t>
      </w:r>
      <w:r w:rsidRPr="00BA0BB9">
        <w:rPr>
          <w:rFonts w:asciiTheme="minorHAnsi" w:hAnsiTheme="minorHAnsi" w:cstheme="minorHAnsi"/>
          <w:lang w:val="es-ES"/>
        </w:rPr>
        <w:t xml:space="preserve"> diarrea, dolor abdominal, náuseas, vómitos, picazón, erupción cutánea.</w:t>
      </w:r>
      <w:r w:rsidRPr="00BA0BB9">
        <w:rPr>
          <w:rFonts w:asciiTheme="minorHAnsi" w:hAnsiTheme="minorHAnsi" w:cstheme="minorHAnsi"/>
          <w:lang w:val="es-ES"/>
        </w:rPr>
        <w:br/>
      </w:r>
      <w:r w:rsidRPr="00BA0BB9">
        <w:rPr>
          <w:rStyle w:val="Strong"/>
          <w:rFonts w:asciiTheme="minorHAnsi" w:hAnsiTheme="minorHAnsi" w:cstheme="minorHAnsi"/>
          <w:b w:val="0"/>
          <w:bCs w:val="0"/>
          <w:lang w:val="es-ES"/>
        </w:rPr>
        <w:t>Efectos graves raros:</w:t>
      </w:r>
      <w:r w:rsidRPr="00BA0BB9">
        <w:rPr>
          <w:rFonts w:asciiTheme="minorHAnsi" w:hAnsiTheme="minorHAnsi" w:cstheme="minorHAnsi"/>
          <w:lang w:val="es-ES"/>
        </w:rPr>
        <w:t xml:space="preserve"> reacciones alérgicas graves, infecciones fúngicas, inflamación del colon, necrólisis epidérmica tóxica.</w:t>
      </w:r>
      <w:r w:rsidRPr="00BA0BB9">
        <w:rPr>
          <w:rFonts w:asciiTheme="minorHAnsi" w:hAnsiTheme="minorHAnsi" w:cstheme="minorHAnsi"/>
          <w:lang w:val="es-ES"/>
        </w:rPr>
        <w:br/>
        <w:t>Existen riesgos desconocidos relacionados con la participación en el ensayo. Si se detectan nuevos efectos secundarios, se le informará inmediatamente.</w:t>
      </w:r>
    </w:p>
    <w:p w14:paraId="215A6D94" w14:textId="77777777" w:rsidR="00B21574" w:rsidRPr="00BA0BB9" w:rsidRDefault="00B21574" w:rsidP="00B21574">
      <w:pPr>
        <w:pStyle w:val="NormalWeb"/>
        <w:spacing w:line="360" w:lineRule="auto"/>
        <w:rPr>
          <w:rStyle w:val="Strong"/>
          <w:lang w:val="es-ES"/>
        </w:rPr>
      </w:pPr>
    </w:p>
    <w:p w14:paraId="67569F94" w14:textId="2553F7E9" w:rsidR="00633ABE" w:rsidRPr="00BA0BB9" w:rsidRDefault="00633ABE" w:rsidP="00B21574">
      <w:pPr>
        <w:pStyle w:val="NormalWeb"/>
        <w:spacing w:line="360" w:lineRule="auto"/>
        <w:rPr>
          <w:rStyle w:val="Strong"/>
          <w:rFonts w:asciiTheme="minorHAnsi" w:hAnsiTheme="minorHAnsi" w:cstheme="minorHAnsi"/>
          <w:lang w:val="es-ES"/>
        </w:rPr>
      </w:pPr>
      <w:r w:rsidRPr="00BA0BB9">
        <w:rPr>
          <w:rStyle w:val="Strong"/>
          <w:rFonts w:asciiTheme="minorHAnsi" w:hAnsiTheme="minorHAnsi" w:cstheme="minorHAnsi"/>
          <w:lang w:val="es-ES"/>
        </w:rPr>
        <w:t>Confidencialidad y secreto</w:t>
      </w:r>
    </w:p>
    <w:p w14:paraId="0134E6C8"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Toda la información se trata de forma </w:t>
      </w:r>
      <w:r w:rsidRPr="00BA0BB9">
        <w:rPr>
          <w:rStyle w:val="Strong"/>
          <w:rFonts w:asciiTheme="minorHAnsi" w:hAnsiTheme="minorHAnsi" w:cstheme="minorHAnsi"/>
          <w:b w:val="0"/>
          <w:bCs w:val="0"/>
          <w:lang w:val="es-ES"/>
        </w:rPr>
        <w:t>confidencial</w:t>
      </w:r>
      <w:r w:rsidRPr="00BA0BB9">
        <w:rPr>
          <w:rFonts w:asciiTheme="minorHAnsi" w:hAnsiTheme="minorHAnsi" w:cstheme="minorHAnsi"/>
          <w:b/>
          <w:bCs/>
          <w:lang w:val="es-ES"/>
        </w:rPr>
        <w:t>.</w:t>
      </w:r>
      <w:r w:rsidRPr="00BA0BB9">
        <w:rPr>
          <w:rFonts w:asciiTheme="minorHAnsi" w:hAnsiTheme="minorHAnsi" w:cstheme="minorHAnsi"/>
          <w:lang w:val="es-ES"/>
        </w:rPr>
        <w:t xml:space="preserve"> En los informes y publicaciones, su familiar permanecerá </w:t>
      </w:r>
      <w:r w:rsidRPr="00BA0BB9">
        <w:rPr>
          <w:rStyle w:val="Strong"/>
          <w:rFonts w:asciiTheme="minorHAnsi" w:hAnsiTheme="minorHAnsi" w:cstheme="minorHAnsi"/>
          <w:b w:val="0"/>
          <w:bCs w:val="0"/>
          <w:lang w:val="es-ES"/>
        </w:rPr>
        <w:t>anónimo</w:t>
      </w:r>
      <w:r w:rsidRPr="00BA0BB9">
        <w:rPr>
          <w:rFonts w:asciiTheme="minorHAnsi" w:hAnsiTheme="minorHAnsi" w:cstheme="minorHAnsi"/>
          <w:b/>
          <w:bCs/>
          <w:lang w:val="es-ES"/>
        </w:rPr>
        <w:t>.</w:t>
      </w:r>
    </w:p>
    <w:p w14:paraId="65863D5A"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La Agencia Danesa de Medicamentos, la unidad de Buenas Prácticas Clínicas (GCP) y el médico responsable del ensayo tendrán acceso completo a la historia clínica para asegurar que el ensayo se realice según lo planeado. Todos están sujetos a </w:t>
      </w:r>
      <w:r w:rsidRPr="00BA0BB9">
        <w:rPr>
          <w:rStyle w:val="Strong"/>
          <w:rFonts w:asciiTheme="minorHAnsi" w:hAnsiTheme="minorHAnsi" w:cstheme="minorHAnsi"/>
          <w:b w:val="0"/>
          <w:bCs w:val="0"/>
          <w:lang w:val="es-ES"/>
        </w:rPr>
        <w:t>confidencialidad</w:t>
      </w:r>
      <w:r w:rsidRPr="00BA0BB9">
        <w:rPr>
          <w:rFonts w:asciiTheme="minorHAnsi" w:hAnsiTheme="minorHAnsi" w:cstheme="minorHAnsi"/>
          <w:b/>
          <w:bCs/>
          <w:lang w:val="es-ES"/>
        </w:rPr>
        <w:t>.</w:t>
      </w:r>
    </w:p>
    <w:p w14:paraId="69EC9676"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El procesamiento de datos personales cumplirá con el </w:t>
      </w:r>
      <w:r w:rsidRPr="00BA0BB9">
        <w:rPr>
          <w:rStyle w:val="Strong"/>
          <w:rFonts w:asciiTheme="minorHAnsi" w:hAnsiTheme="minorHAnsi" w:cstheme="minorHAnsi"/>
          <w:b w:val="0"/>
          <w:bCs w:val="0"/>
          <w:lang w:val="es-ES"/>
        </w:rPr>
        <w:t>RGPD</w:t>
      </w:r>
      <w:r w:rsidRPr="00BA0BB9">
        <w:rPr>
          <w:rFonts w:asciiTheme="minorHAnsi" w:hAnsiTheme="minorHAnsi" w:cstheme="minorHAnsi"/>
          <w:lang w:val="es-ES"/>
        </w:rPr>
        <w:t xml:space="preserve"> y la </w:t>
      </w:r>
      <w:r w:rsidRPr="00BA0BB9">
        <w:rPr>
          <w:rStyle w:val="Strong"/>
          <w:rFonts w:asciiTheme="minorHAnsi" w:hAnsiTheme="minorHAnsi" w:cstheme="minorHAnsi"/>
          <w:b w:val="0"/>
          <w:bCs w:val="0"/>
          <w:lang w:val="es-ES"/>
        </w:rPr>
        <w:t>Ley Danesa de Protección de Datos</w:t>
      </w:r>
      <w:r w:rsidRPr="00BA0BB9">
        <w:rPr>
          <w:rFonts w:asciiTheme="minorHAnsi" w:hAnsiTheme="minorHAnsi" w:cstheme="minorHAnsi"/>
          <w:b/>
          <w:bCs/>
          <w:lang w:val="es-ES"/>
        </w:rPr>
        <w:t>.</w:t>
      </w:r>
    </w:p>
    <w:p w14:paraId="40C63332" w14:textId="242524D0" w:rsidR="00633ABE" w:rsidRPr="00BA0BB9" w:rsidRDefault="00633ABE" w:rsidP="00B21574">
      <w:pPr>
        <w:pStyle w:val="NormalWeb"/>
        <w:spacing w:line="360" w:lineRule="auto"/>
        <w:rPr>
          <w:rFonts w:asciiTheme="minorHAnsi" w:hAnsiTheme="minorHAnsi" w:cstheme="minorHAnsi"/>
          <w:lang w:val="es-ES"/>
        </w:rPr>
      </w:pPr>
      <w:r w:rsidRPr="00BA0BB9">
        <w:rPr>
          <w:rFonts w:asciiTheme="minorHAnsi" w:hAnsiTheme="minorHAnsi" w:cstheme="minorHAnsi"/>
          <w:lang w:val="es-ES"/>
        </w:rPr>
        <w:lastRenderedPageBreak/>
        <w:t xml:space="preserve">Los datos pueden compartirse de forma </w:t>
      </w:r>
      <w:r w:rsidRPr="00BA0BB9">
        <w:rPr>
          <w:rStyle w:val="Strong"/>
          <w:rFonts w:asciiTheme="minorHAnsi" w:hAnsiTheme="minorHAnsi" w:cstheme="minorHAnsi"/>
          <w:b w:val="0"/>
          <w:bCs w:val="0"/>
          <w:lang w:val="es-ES"/>
        </w:rPr>
        <w:t>anonimizada</w:t>
      </w:r>
      <w:r w:rsidRPr="00BA0BB9">
        <w:rPr>
          <w:rFonts w:asciiTheme="minorHAnsi" w:hAnsiTheme="minorHAnsi" w:cstheme="minorHAnsi"/>
          <w:lang w:val="es-ES"/>
        </w:rPr>
        <w:t xml:space="preserve"> con otros investigadores tras aprobación del comité del ensayo, o de forma </w:t>
      </w:r>
      <w:r w:rsidRPr="00BA0BB9">
        <w:rPr>
          <w:rStyle w:val="Strong"/>
          <w:rFonts w:asciiTheme="minorHAnsi" w:hAnsiTheme="minorHAnsi" w:cstheme="minorHAnsi"/>
          <w:b w:val="0"/>
          <w:bCs w:val="0"/>
          <w:lang w:val="es-ES"/>
        </w:rPr>
        <w:t>no anonima</w:t>
      </w:r>
      <w:r w:rsidRPr="00BA0BB9">
        <w:rPr>
          <w:rFonts w:asciiTheme="minorHAnsi" w:hAnsiTheme="minorHAnsi" w:cstheme="minorHAnsi"/>
          <w:lang w:val="es-ES"/>
        </w:rPr>
        <w:t xml:space="preserve"> tras las aprobaciones necesarias.</w:t>
      </w:r>
    </w:p>
    <w:p w14:paraId="57CD18A8" w14:textId="77777777" w:rsidR="00B21574" w:rsidRPr="00BA0BB9" w:rsidRDefault="00B21574" w:rsidP="00B21574">
      <w:pPr>
        <w:pStyle w:val="NormalWeb"/>
        <w:spacing w:line="360" w:lineRule="auto"/>
        <w:rPr>
          <w:rStyle w:val="Strong"/>
          <w:lang w:val="es-ES"/>
        </w:rPr>
      </w:pPr>
    </w:p>
    <w:p w14:paraId="0EA6E899" w14:textId="77DF97BD" w:rsidR="00633ABE" w:rsidRPr="00BA0BB9" w:rsidRDefault="00633ABE" w:rsidP="00B21574">
      <w:pPr>
        <w:pStyle w:val="NormalWeb"/>
        <w:spacing w:line="360" w:lineRule="auto"/>
        <w:rPr>
          <w:rStyle w:val="Strong"/>
          <w:rFonts w:asciiTheme="minorHAnsi" w:hAnsiTheme="minorHAnsi" w:cstheme="minorHAnsi"/>
          <w:lang w:val="es-ES"/>
        </w:rPr>
      </w:pPr>
      <w:r w:rsidRPr="00BA0BB9">
        <w:rPr>
          <w:rStyle w:val="Strong"/>
          <w:rFonts w:asciiTheme="minorHAnsi" w:hAnsiTheme="minorHAnsi" w:cstheme="minorHAnsi"/>
          <w:lang w:val="es-ES"/>
        </w:rPr>
        <w:t>Financiamiento del ensayo</w:t>
      </w:r>
    </w:p>
    <w:p w14:paraId="3435EA7C"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El ensayo recibe financiamiento de varias subvenciones:</w:t>
      </w:r>
    </w:p>
    <w:p w14:paraId="137153AB" w14:textId="77777777" w:rsidR="00633ABE" w:rsidRPr="00BA0BB9" w:rsidRDefault="00633ABE" w:rsidP="00633ABE">
      <w:pPr>
        <w:pStyle w:val="NormalWeb"/>
        <w:numPr>
          <w:ilvl w:val="0"/>
          <w:numId w:val="15"/>
        </w:numPr>
        <w:spacing w:line="360" w:lineRule="auto"/>
        <w:rPr>
          <w:rFonts w:asciiTheme="minorHAnsi" w:hAnsiTheme="minorHAnsi" w:cstheme="minorHAnsi"/>
          <w:lang w:val="es-ES"/>
        </w:rPr>
      </w:pPr>
      <w:r w:rsidRPr="00BA0BB9">
        <w:rPr>
          <w:rFonts w:asciiTheme="minorHAnsi" w:hAnsiTheme="minorHAnsi" w:cstheme="minorHAnsi"/>
          <w:lang w:val="es-ES"/>
        </w:rPr>
        <w:t>Independent Research Fund Denmark: 4.220.996 DKK</w:t>
      </w:r>
    </w:p>
    <w:p w14:paraId="7DA37892" w14:textId="77777777" w:rsidR="00633ABE" w:rsidRPr="00BA0BB9" w:rsidRDefault="00633ABE" w:rsidP="00633ABE">
      <w:pPr>
        <w:pStyle w:val="NormalWeb"/>
        <w:numPr>
          <w:ilvl w:val="0"/>
          <w:numId w:val="15"/>
        </w:numPr>
        <w:spacing w:line="360" w:lineRule="auto"/>
        <w:rPr>
          <w:rFonts w:asciiTheme="minorHAnsi" w:hAnsiTheme="minorHAnsi" w:cstheme="minorHAnsi"/>
          <w:lang w:val="es-ES"/>
        </w:rPr>
      </w:pPr>
      <w:r w:rsidRPr="00BA0BB9">
        <w:rPr>
          <w:rFonts w:asciiTheme="minorHAnsi" w:hAnsiTheme="minorHAnsi" w:cstheme="minorHAnsi"/>
          <w:lang w:val="es-ES"/>
        </w:rPr>
        <w:t>Comité de Investigación de Rigshospitalet: 2.040.000 DKK</w:t>
      </w:r>
    </w:p>
    <w:p w14:paraId="035574C0" w14:textId="77777777" w:rsidR="00633ABE" w:rsidRPr="00BA0BB9" w:rsidRDefault="00633ABE" w:rsidP="00633ABE">
      <w:pPr>
        <w:pStyle w:val="NormalWeb"/>
        <w:numPr>
          <w:ilvl w:val="0"/>
          <w:numId w:val="15"/>
        </w:numPr>
        <w:spacing w:line="360" w:lineRule="auto"/>
        <w:rPr>
          <w:rFonts w:asciiTheme="minorHAnsi" w:hAnsiTheme="minorHAnsi" w:cstheme="minorHAnsi"/>
          <w:lang w:val="es-ES"/>
        </w:rPr>
      </w:pPr>
      <w:r w:rsidRPr="00BA0BB9">
        <w:rPr>
          <w:rFonts w:asciiTheme="minorHAnsi" w:hAnsiTheme="minorHAnsi" w:cstheme="minorHAnsi"/>
          <w:lang w:val="es-ES"/>
        </w:rPr>
        <w:t>Research Fund for Health Research in the Capital Region: 1.740.428 DKK</w:t>
      </w:r>
    </w:p>
    <w:p w14:paraId="006C9909" w14:textId="77777777" w:rsidR="00633ABE" w:rsidRPr="00BA0BB9" w:rsidRDefault="00633ABE" w:rsidP="00633ABE">
      <w:pPr>
        <w:pStyle w:val="NormalWeb"/>
        <w:numPr>
          <w:ilvl w:val="0"/>
          <w:numId w:val="15"/>
        </w:numPr>
        <w:spacing w:line="360" w:lineRule="auto"/>
        <w:rPr>
          <w:rFonts w:asciiTheme="minorHAnsi" w:hAnsiTheme="minorHAnsi" w:cstheme="minorHAnsi"/>
          <w:lang w:val="es-ES"/>
        </w:rPr>
      </w:pPr>
      <w:r w:rsidRPr="00BA0BB9">
        <w:rPr>
          <w:rFonts w:asciiTheme="minorHAnsi" w:hAnsiTheme="minorHAnsi" w:cstheme="minorHAnsi"/>
          <w:lang w:val="es-ES"/>
        </w:rPr>
        <w:t>Fundación Beckett: 100.000 DKK</w:t>
      </w:r>
    </w:p>
    <w:p w14:paraId="613792FC" w14:textId="77777777" w:rsidR="00633ABE" w:rsidRPr="00BA0BB9" w:rsidRDefault="00633ABE" w:rsidP="00633ABE">
      <w:pPr>
        <w:pStyle w:val="NormalWeb"/>
        <w:numPr>
          <w:ilvl w:val="0"/>
          <w:numId w:val="15"/>
        </w:numPr>
        <w:spacing w:line="360" w:lineRule="auto"/>
        <w:rPr>
          <w:rFonts w:asciiTheme="minorHAnsi" w:hAnsiTheme="minorHAnsi" w:cstheme="minorHAnsi"/>
          <w:lang w:val="es-ES"/>
        </w:rPr>
      </w:pPr>
      <w:r w:rsidRPr="00BA0BB9">
        <w:rPr>
          <w:rFonts w:asciiTheme="minorHAnsi" w:hAnsiTheme="minorHAnsi" w:cstheme="minorHAnsi"/>
          <w:lang w:val="es-ES"/>
        </w:rPr>
        <w:t>Fundación Dr. Inger Goldmann: 100.000 DKK</w:t>
      </w:r>
    </w:p>
    <w:p w14:paraId="2C0EA78A" w14:textId="77777777" w:rsidR="00633ABE" w:rsidRPr="00BA0BB9" w:rsidRDefault="00633ABE" w:rsidP="00633ABE">
      <w:pPr>
        <w:pStyle w:val="NormalWeb"/>
        <w:numPr>
          <w:ilvl w:val="0"/>
          <w:numId w:val="15"/>
        </w:numPr>
        <w:spacing w:line="360" w:lineRule="auto"/>
        <w:rPr>
          <w:rFonts w:asciiTheme="minorHAnsi" w:hAnsiTheme="minorHAnsi" w:cstheme="minorHAnsi"/>
          <w:lang w:val="es-ES"/>
        </w:rPr>
      </w:pPr>
      <w:r w:rsidRPr="00BA0BB9">
        <w:rPr>
          <w:rFonts w:asciiTheme="minorHAnsi" w:hAnsiTheme="minorHAnsi" w:cstheme="minorHAnsi"/>
          <w:lang w:val="es-ES"/>
        </w:rPr>
        <w:t>Fundación Grosserer Jakob Ehrenreich y esposa Grete Ehrenreich: 512.000 DKK</w:t>
      </w:r>
    </w:p>
    <w:p w14:paraId="493E1DD8"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Se utiliza la infraestructura del </w:t>
      </w:r>
      <w:r w:rsidRPr="00BA0BB9">
        <w:rPr>
          <w:rStyle w:val="Strong"/>
          <w:rFonts w:asciiTheme="minorHAnsi" w:hAnsiTheme="minorHAnsi" w:cstheme="minorHAnsi"/>
          <w:b w:val="0"/>
          <w:bCs w:val="0"/>
          <w:lang w:val="es-ES"/>
        </w:rPr>
        <w:t>programa INCEPT</w:t>
      </w:r>
      <w:r w:rsidRPr="00BA0BB9">
        <w:rPr>
          <w:rFonts w:asciiTheme="minorHAnsi" w:hAnsiTheme="minorHAnsi" w:cstheme="minorHAnsi"/>
          <w:lang w:val="es-ES"/>
        </w:rPr>
        <w:t>, financiado por la Fundación Novo Nordisk (29.985.000 DKK) y Sygeforsikringen "danmark" (7.300.000 DKK), además de otras contribuciones.</w:t>
      </w:r>
    </w:p>
    <w:p w14:paraId="6F0BB099" w14:textId="77777777" w:rsidR="00633ABE" w:rsidRPr="00BA0BB9" w:rsidRDefault="00633ABE" w:rsidP="00633ABE">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Los financiadores </w:t>
      </w:r>
      <w:r w:rsidRPr="00BA0BB9">
        <w:rPr>
          <w:rStyle w:val="Strong"/>
          <w:rFonts w:asciiTheme="minorHAnsi" w:hAnsiTheme="minorHAnsi" w:cstheme="minorHAnsi"/>
          <w:b w:val="0"/>
          <w:bCs w:val="0"/>
          <w:lang w:val="es-ES"/>
        </w:rPr>
        <w:t>no participan</w:t>
      </w:r>
      <w:r w:rsidRPr="00BA0BB9">
        <w:rPr>
          <w:rFonts w:asciiTheme="minorHAnsi" w:hAnsiTheme="minorHAnsi" w:cstheme="minorHAnsi"/>
          <w:lang w:val="es-ES"/>
        </w:rPr>
        <w:t xml:space="preserve"> en el diseño, ejecución, análisis ni informes del ensayo. No tienen propiedad sobre los datos.</w:t>
      </w:r>
    </w:p>
    <w:p w14:paraId="24661BB8" w14:textId="1D0FFAB2" w:rsidR="00B21574" w:rsidRPr="00BA0BB9" w:rsidRDefault="00633ABE" w:rsidP="00B21574">
      <w:pPr>
        <w:pStyle w:val="NormalWeb"/>
        <w:spacing w:line="360" w:lineRule="auto"/>
        <w:rPr>
          <w:rFonts w:asciiTheme="minorHAnsi" w:hAnsiTheme="minorHAnsi" w:cstheme="minorHAnsi"/>
          <w:lang w:val="es-ES"/>
        </w:rPr>
      </w:pPr>
      <w:r w:rsidRPr="00BA0BB9">
        <w:rPr>
          <w:rFonts w:asciiTheme="minorHAnsi" w:hAnsiTheme="minorHAnsi" w:cstheme="minorHAnsi"/>
          <w:lang w:val="es-ES"/>
        </w:rPr>
        <w:t>Los fondos cubren salarios del personal, compensación a los departamentos participantes y gastos administrativos relacionados con la gestión del ensayo, incluyendo gestión de datos, monitoreo de seguridad, aprobaciones éticas y seguros.</w:t>
      </w:r>
    </w:p>
    <w:p w14:paraId="1180FBBE" w14:textId="77777777" w:rsidR="00B21574" w:rsidRPr="00BA0BB9" w:rsidRDefault="00633ABE" w:rsidP="00633ABE">
      <w:pPr>
        <w:pStyle w:val="NormalWeb"/>
        <w:spacing w:line="360" w:lineRule="auto"/>
        <w:rPr>
          <w:rStyle w:val="Strong"/>
          <w:rFonts w:asciiTheme="minorHAnsi" w:hAnsiTheme="minorHAnsi" w:cstheme="minorHAnsi"/>
          <w:lang w:val="es-ES"/>
        </w:rPr>
      </w:pPr>
      <w:r w:rsidRPr="00BA0BB9">
        <w:rPr>
          <w:rStyle w:val="Strong"/>
          <w:rFonts w:asciiTheme="minorHAnsi" w:hAnsiTheme="minorHAnsi" w:cstheme="minorHAnsi"/>
          <w:lang w:val="es-ES"/>
        </w:rPr>
        <w:t>Seguro</w:t>
      </w:r>
    </w:p>
    <w:p w14:paraId="68D1A79F" w14:textId="414C095D" w:rsidR="00B21574" w:rsidRPr="00BA0BB9" w:rsidRDefault="00633ABE" w:rsidP="00B21574">
      <w:pPr>
        <w:pStyle w:val="NormalWeb"/>
        <w:spacing w:line="360" w:lineRule="auto"/>
        <w:rPr>
          <w:rFonts w:asciiTheme="minorHAnsi" w:hAnsiTheme="minorHAnsi" w:cstheme="minorHAnsi"/>
          <w:b/>
          <w:bCs/>
          <w:lang w:val="es-ES"/>
        </w:rPr>
      </w:pPr>
      <w:r w:rsidRPr="00BA0BB9">
        <w:rPr>
          <w:rFonts w:asciiTheme="minorHAnsi" w:hAnsiTheme="minorHAnsi" w:cstheme="minorHAnsi"/>
          <w:lang w:val="es-ES"/>
        </w:rPr>
        <w:t xml:space="preserve">Durante el ensayo, su familiar estará cubierto por la </w:t>
      </w:r>
      <w:r w:rsidRPr="00BA0BB9">
        <w:rPr>
          <w:rStyle w:val="Strong"/>
          <w:rFonts w:asciiTheme="minorHAnsi" w:hAnsiTheme="minorHAnsi" w:cstheme="minorHAnsi"/>
          <w:b w:val="0"/>
          <w:bCs w:val="0"/>
          <w:lang w:val="es-ES"/>
        </w:rPr>
        <w:t>Patient Compensation Association</w:t>
      </w:r>
      <w:r w:rsidRPr="00BA0BB9">
        <w:rPr>
          <w:rFonts w:asciiTheme="minorHAnsi" w:hAnsiTheme="minorHAnsi" w:cstheme="minorHAnsi"/>
          <w:b/>
          <w:bCs/>
          <w:lang w:val="es-ES"/>
        </w:rPr>
        <w:t>.</w:t>
      </w:r>
    </w:p>
    <w:p w14:paraId="42A18DE3" w14:textId="77777777" w:rsidR="00633ABE" w:rsidRPr="00BA0BB9" w:rsidRDefault="00633ABE" w:rsidP="00B21574">
      <w:pPr>
        <w:pStyle w:val="NormalWeb"/>
        <w:spacing w:line="360" w:lineRule="auto"/>
        <w:rPr>
          <w:rStyle w:val="Strong"/>
          <w:rFonts w:asciiTheme="minorHAnsi" w:hAnsiTheme="minorHAnsi" w:cstheme="minorHAnsi"/>
          <w:lang w:val="es-ES"/>
        </w:rPr>
      </w:pPr>
      <w:r w:rsidRPr="00BA0BB9">
        <w:rPr>
          <w:rStyle w:val="Strong"/>
          <w:rFonts w:asciiTheme="minorHAnsi" w:hAnsiTheme="minorHAnsi" w:cstheme="minorHAnsi"/>
          <w:lang w:val="es-ES"/>
        </w:rPr>
        <w:t>Acceso a resultados del ensayo</w:t>
      </w:r>
    </w:p>
    <w:p w14:paraId="37299259" w14:textId="36CF7E32" w:rsidR="00633ABE" w:rsidRPr="00BA0BB9" w:rsidRDefault="00633ABE" w:rsidP="00B21574">
      <w:pPr>
        <w:pStyle w:val="NormalWeb"/>
        <w:spacing w:line="360" w:lineRule="auto"/>
        <w:rPr>
          <w:rFonts w:asciiTheme="minorHAnsi" w:hAnsiTheme="minorHAnsi" w:cstheme="minorHAnsi"/>
          <w:lang w:val="es-ES"/>
        </w:rPr>
      </w:pPr>
      <w:r w:rsidRPr="00BA0BB9">
        <w:rPr>
          <w:rFonts w:asciiTheme="minorHAnsi" w:hAnsiTheme="minorHAnsi" w:cstheme="minorHAnsi"/>
          <w:lang w:val="es-ES"/>
        </w:rPr>
        <w:t xml:space="preserve">Cuando el ensayo finalice, los resultados se publicarán en una revista científica internacional. Además, se publicará un resumen en lenguaje sencillo en la base de datos de la UE </w:t>
      </w:r>
      <w:r w:rsidRPr="00BA0BB9">
        <w:rPr>
          <w:rFonts w:asciiTheme="minorHAnsi" w:hAnsiTheme="minorHAnsi" w:cstheme="minorHAnsi"/>
          <w:lang w:val="es-ES"/>
        </w:rPr>
        <w:lastRenderedPageBreak/>
        <w:t>(euclinicaltrials.eu). Puede solicitar información sobre los resultados contactando al responsable del ensayo.</w:t>
      </w:r>
    </w:p>
    <w:p w14:paraId="4C8C66AE" w14:textId="77777777" w:rsidR="00B21574" w:rsidRPr="00BA0BB9" w:rsidRDefault="00633ABE" w:rsidP="00633ABE">
      <w:pPr>
        <w:pStyle w:val="NormalWeb"/>
        <w:spacing w:line="360" w:lineRule="auto"/>
        <w:rPr>
          <w:rStyle w:val="Strong"/>
          <w:rFonts w:asciiTheme="minorHAnsi" w:hAnsiTheme="minorHAnsi" w:cstheme="minorHAnsi"/>
          <w:lang w:val="es-ES"/>
        </w:rPr>
      </w:pPr>
      <w:r w:rsidRPr="00BA0BB9">
        <w:rPr>
          <w:rStyle w:val="Strong"/>
          <w:rFonts w:asciiTheme="minorHAnsi" w:hAnsiTheme="minorHAnsi" w:cstheme="minorHAnsi"/>
          <w:lang w:val="es-ES"/>
        </w:rPr>
        <w:t>Contacto</w:t>
      </w:r>
    </w:p>
    <w:p w14:paraId="437DEEAB" w14:textId="2EC4BCD1" w:rsidR="00633ABE" w:rsidRPr="00BA0BB9" w:rsidRDefault="00633ABE" w:rsidP="00633ABE">
      <w:pPr>
        <w:pStyle w:val="NormalWeb"/>
        <w:spacing w:line="360" w:lineRule="auto"/>
        <w:rPr>
          <w:rFonts w:asciiTheme="minorHAnsi" w:hAnsiTheme="minorHAnsi" w:cstheme="minorHAnsi"/>
          <w:b/>
          <w:bCs/>
          <w:lang w:val="es-ES"/>
        </w:rPr>
      </w:pPr>
      <w:r w:rsidRPr="00BA0BB9">
        <w:rPr>
          <w:rFonts w:asciiTheme="minorHAnsi" w:hAnsiTheme="minorHAnsi" w:cstheme="minorHAnsi"/>
          <w:lang w:val="es-ES"/>
        </w:rPr>
        <w:t xml:space="preserve">Esperamos que esta información le haya proporcionado suficiente comprensión sobre la participación en el ensayo y le ayude a tomar una decisión. Para más detalles o preguntas, puede contactar al responsable indicado. También le recomendamos revisar el documento adjunto </w:t>
      </w:r>
      <w:r w:rsidRPr="00BA0BB9">
        <w:rPr>
          <w:rStyle w:val="Strong"/>
          <w:rFonts w:asciiTheme="minorHAnsi" w:hAnsiTheme="minorHAnsi" w:cstheme="minorHAnsi"/>
          <w:b w:val="0"/>
          <w:bCs w:val="0"/>
          <w:lang w:val="es-ES"/>
        </w:rPr>
        <w:t>“Sus derechos como participante en un ensayo clínico con medicamentos”</w:t>
      </w:r>
      <w:r w:rsidRPr="00BA0BB9">
        <w:rPr>
          <w:rFonts w:asciiTheme="minorHAnsi" w:hAnsiTheme="minorHAnsi" w:cstheme="minorHAnsi"/>
          <w:b/>
          <w:bCs/>
          <w:lang w:val="es-ES"/>
        </w:rPr>
        <w:t xml:space="preserve"> </w:t>
      </w:r>
      <w:r w:rsidRPr="00BA0BB9">
        <w:rPr>
          <w:rFonts w:asciiTheme="minorHAnsi" w:hAnsiTheme="minorHAnsi" w:cstheme="minorHAnsi"/>
          <w:lang w:val="es-ES"/>
        </w:rPr>
        <w:t xml:space="preserve">de la </w:t>
      </w:r>
      <w:r w:rsidRPr="00BA0BB9">
        <w:rPr>
          <w:rStyle w:val="Strong"/>
          <w:rFonts w:asciiTheme="minorHAnsi" w:hAnsiTheme="minorHAnsi" w:cstheme="minorHAnsi"/>
          <w:b w:val="0"/>
          <w:bCs w:val="0"/>
          <w:lang w:val="es-ES"/>
        </w:rPr>
        <w:t>Comisión Nacional de Ética en Investigación en Salud</w:t>
      </w:r>
      <w:r w:rsidRPr="00BA0BB9">
        <w:rPr>
          <w:rFonts w:asciiTheme="minorHAnsi" w:hAnsiTheme="minorHAnsi" w:cstheme="minorHAnsi"/>
          <w:b/>
          <w:bCs/>
          <w:lang w:val="es-ES"/>
        </w:rPr>
        <w:t>.</w:t>
      </w:r>
    </w:p>
    <w:p w14:paraId="50496B87" w14:textId="6BF11C04" w:rsidR="00633ABE" w:rsidRPr="00BA0BB9" w:rsidRDefault="00633ABE" w:rsidP="00F4105C">
      <w:pPr>
        <w:pStyle w:val="NormalWeb"/>
        <w:spacing w:line="360" w:lineRule="auto"/>
        <w:rPr>
          <w:rFonts w:asciiTheme="minorHAnsi" w:hAnsiTheme="minorHAnsi" w:cstheme="minorHAnsi"/>
          <w:b/>
          <w:bCs/>
          <w:lang w:val="es-ES"/>
        </w:rPr>
      </w:pPr>
      <w:r w:rsidRPr="00BA0BB9">
        <w:rPr>
          <w:rStyle w:val="Strong"/>
          <w:rFonts w:asciiTheme="minorHAnsi" w:hAnsiTheme="minorHAnsi" w:cstheme="minorHAnsi"/>
          <w:b w:val="0"/>
          <w:bCs w:val="0"/>
          <w:lang w:val="es-ES"/>
        </w:rPr>
        <w:t>En nombre del comité de gestión de EMPRESS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33ABE" w:rsidRPr="00BA0BB9" w14:paraId="38704B09" w14:textId="77777777" w:rsidTr="00CE466E">
        <w:tc>
          <w:tcPr>
            <w:tcW w:w="4814" w:type="dxa"/>
          </w:tcPr>
          <w:p w14:paraId="5D6193BC" w14:textId="77777777" w:rsidR="00633ABE" w:rsidRPr="00BA0BB9" w:rsidRDefault="00BA0BB9" w:rsidP="00CE466E">
            <w:pPr>
              <w:spacing w:line="360" w:lineRule="auto"/>
              <w:rPr>
                <w:rFonts w:asciiTheme="minorHAnsi" w:hAnsiTheme="minorHAnsi" w:cstheme="minorHAnsi"/>
                <w:sz w:val="20"/>
                <w:szCs w:val="20"/>
                <w:lang w:val="es-ES"/>
              </w:rPr>
            </w:pPr>
            <w:r w:rsidRPr="00BA0BB9">
              <w:rPr>
                <w:rFonts w:asciiTheme="minorHAnsi" w:hAnsiTheme="minorHAnsi" w:cstheme="minorHAnsi"/>
                <w:sz w:val="20"/>
                <w:szCs w:val="20"/>
                <w:lang w:val="es-ES"/>
              </w:rPr>
              <w:t>[Inserte nombre], investigador principal del centro</w:t>
            </w:r>
            <w:r w:rsidRPr="00BA0BB9">
              <w:rPr>
                <w:rFonts w:asciiTheme="minorHAnsi" w:hAnsiTheme="minorHAnsi" w:cstheme="minorHAnsi"/>
                <w:sz w:val="20"/>
                <w:szCs w:val="20"/>
                <w:lang w:val="es-ES"/>
              </w:rPr>
              <w:br/>
              <w:t>[Título]</w:t>
            </w:r>
            <w:r w:rsidRPr="00BA0BB9">
              <w:rPr>
                <w:rFonts w:asciiTheme="minorHAnsi" w:hAnsiTheme="minorHAnsi" w:cstheme="minorHAnsi"/>
                <w:sz w:val="20"/>
                <w:szCs w:val="20"/>
                <w:lang w:val="es-ES"/>
              </w:rPr>
              <w:br/>
              <w:t>[Departamento]</w:t>
            </w:r>
            <w:r w:rsidRPr="00BA0BB9">
              <w:rPr>
                <w:rFonts w:asciiTheme="minorHAnsi" w:hAnsiTheme="minorHAnsi" w:cstheme="minorHAnsi"/>
                <w:sz w:val="20"/>
                <w:szCs w:val="20"/>
                <w:lang w:val="es-ES"/>
              </w:rPr>
              <w:br/>
              <w:t>[Dirección]</w:t>
            </w:r>
            <w:r w:rsidRPr="00BA0BB9">
              <w:rPr>
                <w:rFonts w:asciiTheme="minorHAnsi" w:hAnsiTheme="minorHAnsi" w:cstheme="minorHAnsi"/>
                <w:sz w:val="20"/>
                <w:szCs w:val="20"/>
                <w:lang w:val="es-ES"/>
              </w:rPr>
              <w:br/>
              <w:t>[Número de teléfono]</w:t>
            </w:r>
            <w:r w:rsidRPr="00BA0BB9">
              <w:rPr>
                <w:rFonts w:asciiTheme="minorHAnsi" w:hAnsiTheme="minorHAnsi" w:cstheme="minorHAnsi"/>
                <w:sz w:val="20"/>
                <w:szCs w:val="20"/>
                <w:lang w:val="es-ES"/>
              </w:rPr>
              <w:br/>
              <w:t>[Correo electrónico]</w:t>
            </w:r>
          </w:p>
          <w:p w14:paraId="7195795B" w14:textId="37145AD2" w:rsidR="00BA0BB9" w:rsidRPr="00BA0BB9" w:rsidRDefault="00BA0BB9" w:rsidP="00CE466E">
            <w:pPr>
              <w:spacing w:line="360" w:lineRule="auto"/>
              <w:rPr>
                <w:rFonts w:asciiTheme="minorHAnsi" w:hAnsiTheme="minorHAnsi" w:cstheme="minorHAnsi"/>
                <w:color w:val="000000" w:themeColor="text1"/>
                <w:lang w:val="es-ES" w:eastAsia="en-US"/>
              </w:rPr>
            </w:pPr>
          </w:p>
        </w:tc>
        <w:tc>
          <w:tcPr>
            <w:tcW w:w="4814" w:type="dxa"/>
            <w:hideMark/>
          </w:tcPr>
          <w:p w14:paraId="0E5D9D82" w14:textId="77777777" w:rsidR="00633ABE" w:rsidRPr="00BA0BB9" w:rsidRDefault="00633ABE" w:rsidP="00CE466E">
            <w:pPr>
              <w:spacing w:line="360" w:lineRule="auto"/>
              <w:rPr>
                <w:rFonts w:asciiTheme="minorHAnsi" w:hAnsiTheme="minorHAnsi" w:cstheme="minorHAnsi"/>
                <w:color w:val="000000" w:themeColor="text1"/>
                <w:lang w:val="es-ES" w:eastAsia="en-US"/>
              </w:rPr>
            </w:pPr>
            <w:r w:rsidRPr="00BA0BB9">
              <w:rPr>
                <w:rFonts w:asciiTheme="minorHAnsi" w:hAnsiTheme="minorHAnsi" w:cstheme="minorHAnsi"/>
                <w:color w:val="000000" w:themeColor="text1"/>
                <w:lang w:val="es-ES" w:eastAsia="en-US"/>
              </w:rPr>
              <w:t xml:space="preserve"> </w:t>
            </w:r>
          </w:p>
        </w:tc>
      </w:tr>
      <w:tr w:rsidR="00633ABE" w:rsidRPr="00A71C17" w14:paraId="0D8F2483" w14:textId="77777777" w:rsidTr="00CE466E">
        <w:tc>
          <w:tcPr>
            <w:tcW w:w="4814" w:type="dxa"/>
            <w:hideMark/>
          </w:tcPr>
          <w:p w14:paraId="3552E4FE" w14:textId="5A707D5C" w:rsidR="00633ABE" w:rsidRPr="00BA0BB9" w:rsidRDefault="00BA0BB9" w:rsidP="00CE466E">
            <w:pPr>
              <w:spacing w:line="360" w:lineRule="auto"/>
              <w:rPr>
                <w:rFonts w:asciiTheme="minorHAnsi" w:hAnsiTheme="minorHAnsi" w:cstheme="minorHAnsi"/>
                <w:color w:val="000000" w:themeColor="text1"/>
                <w:lang w:val="es-ES" w:eastAsia="en-US"/>
              </w:rPr>
            </w:pPr>
            <w:r w:rsidRPr="00BA0BB9">
              <w:rPr>
                <w:rFonts w:asciiTheme="minorHAnsi" w:hAnsiTheme="minorHAnsi" w:cstheme="minorHAnsi"/>
                <w:color w:val="000000" w:themeColor="text1"/>
                <w:lang w:val="es-ES" w:eastAsia="en-US"/>
              </w:rPr>
              <w:t>Nick Meier,</w:t>
            </w:r>
            <w:r w:rsidRPr="00BA0BB9">
              <w:rPr>
                <w:rStyle w:val="Strong"/>
                <w:rFonts w:asciiTheme="minorHAnsi" w:hAnsiTheme="minorHAnsi" w:cstheme="minorHAnsi"/>
                <w:lang w:val="es-ES"/>
              </w:rPr>
              <w:t xml:space="preserve"> </w:t>
            </w:r>
            <w:r w:rsidRPr="00BA0BB9">
              <w:rPr>
                <w:rStyle w:val="Strong"/>
                <w:rFonts w:asciiTheme="minorHAnsi" w:hAnsiTheme="minorHAnsi" w:cstheme="minorHAnsi"/>
                <w:b w:val="0"/>
                <w:bCs w:val="0"/>
                <w:i/>
                <w:iCs/>
                <w:lang w:val="es-ES"/>
              </w:rPr>
              <w:t>investigador coordinador</w:t>
            </w:r>
            <w:r w:rsidRPr="00BA0BB9">
              <w:rPr>
                <w:rFonts w:asciiTheme="minorHAnsi" w:hAnsiTheme="minorHAnsi" w:cstheme="minorHAnsi"/>
                <w:lang w:val="es-ES"/>
              </w:rPr>
              <w:br/>
            </w:r>
            <w:r w:rsidRPr="00BA0BB9">
              <w:rPr>
                <w:rFonts w:asciiTheme="minorHAnsi" w:hAnsiTheme="minorHAnsi" w:cstheme="minorHAnsi"/>
                <w:sz w:val="20"/>
                <w:szCs w:val="20"/>
                <w:lang w:val="es-ES"/>
              </w:rPr>
              <w:t>Médico, estudiante de doctorado (Ph.D.)</w:t>
            </w:r>
            <w:r w:rsidRPr="00BA0BB9">
              <w:rPr>
                <w:rFonts w:asciiTheme="minorHAnsi" w:hAnsiTheme="minorHAnsi" w:cstheme="minorHAnsi"/>
                <w:sz w:val="20"/>
                <w:szCs w:val="20"/>
                <w:lang w:val="es-ES"/>
              </w:rPr>
              <w:br/>
              <w:t>Departamento de Cuidados Intensivos, Rigshospitalet</w:t>
            </w:r>
            <w:r w:rsidRPr="00BA0BB9">
              <w:rPr>
                <w:rFonts w:asciiTheme="minorHAnsi" w:hAnsiTheme="minorHAnsi" w:cstheme="minorHAnsi"/>
                <w:sz w:val="20"/>
                <w:szCs w:val="20"/>
                <w:lang w:val="es-ES"/>
              </w:rPr>
              <w:br/>
              <w:t>Blegdamsvej 9, 2100 Copenhague Ø</w:t>
            </w:r>
            <w:r w:rsidRPr="00BA0BB9">
              <w:rPr>
                <w:rFonts w:asciiTheme="minorHAnsi" w:hAnsiTheme="minorHAnsi" w:cstheme="minorHAnsi"/>
                <w:sz w:val="20"/>
                <w:szCs w:val="20"/>
                <w:lang w:val="es-ES"/>
              </w:rPr>
              <w:br/>
              <w:t>Correo electrónico: nick.meier@regionh.dk</w:t>
            </w:r>
          </w:p>
        </w:tc>
        <w:tc>
          <w:tcPr>
            <w:tcW w:w="4814" w:type="dxa"/>
            <w:hideMark/>
          </w:tcPr>
          <w:p w14:paraId="38F441DA" w14:textId="64E261C4" w:rsidR="00633ABE" w:rsidRPr="00BA0BB9" w:rsidRDefault="004C6D21" w:rsidP="00CE466E">
            <w:pPr>
              <w:spacing w:line="360" w:lineRule="auto"/>
              <w:rPr>
                <w:rFonts w:asciiTheme="minorHAnsi" w:hAnsiTheme="minorHAnsi" w:cstheme="minorHAnsi"/>
                <w:color w:val="000000" w:themeColor="text1"/>
                <w:lang w:val="es-ES" w:eastAsia="en-US"/>
              </w:rPr>
            </w:pPr>
            <w:r w:rsidRPr="004C6D21">
              <w:rPr>
                <w:rFonts w:asciiTheme="minorHAnsi" w:hAnsiTheme="minorHAnsi" w:cstheme="minorHAnsi"/>
                <w:color w:val="000000" w:themeColor="text1"/>
                <w:lang w:val="es-ES" w:eastAsia="en-US"/>
              </w:rPr>
              <w:t>Morten Hylander Møller</w:t>
            </w:r>
            <w:r>
              <w:rPr>
                <w:rFonts w:asciiTheme="minorHAnsi" w:hAnsiTheme="minorHAnsi" w:cstheme="minorHAnsi"/>
                <w:color w:val="000000" w:themeColor="text1"/>
                <w:lang w:val="es-ES" w:eastAsia="en-US"/>
              </w:rPr>
              <w:t>,</w:t>
            </w:r>
            <w:r w:rsidRPr="004C6D21">
              <w:rPr>
                <w:rStyle w:val="Strong"/>
                <w:rFonts w:asciiTheme="minorHAnsi" w:hAnsiTheme="minorHAnsi" w:cstheme="minorHAnsi"/>
                <w:b w:val="0"/>
                <w:bCs w:val="0"/>
                <w:i/>
                <w:iCs/>
                <w:lang w:val="es-ES"/>
              </w:rPr>
              <w:t xml:space="preserve"> patrocinador</w:t>
            </w:r>
            <w:r w:rsidRPr="00A71C17">
              <w:rPr>
                <w:lang w:val="es-ES"/>
              </w:rPr>
              <w:br/>
            </w:r>
            <w:r w:rsidRPr="004C6D21">
              <w:rPr>
                <w:rFonts w:asciiTheme="minorHAnsi" w:hAnsiTheme="minorHAnsi" w:cstheme="minorHAnsi"/>
                <w:sz w:val="20"/>
                <w:szCs w:val="20"/>
                <w:lang w:val="es-ES"/>
              </w:rPr>
              <w:t>Profesor, especialista en anestesiología</w:t>
            </w:r>
            <w:r w:rsidRPr="004C6D21">
              <w:rPr>
                <w:rFonts w:asciiTheme="minorHAnsi" w:hAnsiTheme="minorHAnsi" w:cstheme="minorHAnsi"/>
                <w:sz w:val="20"/>
                <w:szCs w:val="20"/>
                <w:lang w:val="es-ES"/>
              </w:rPr>
              <w:br/>
              <w:t>Departamento de Cuidados Intensivos, Rigshospitalet</w:t>
            </w:r>
            <w:r w:rsidRPr="004C6D21">
              <w:rPr>
                <w:rFonts w:asciiTheme="minorHAnsi" w:hAnsiTheme="minorHAnsi" w:cstheme="minorHAnsi"/>
                <w:sz w:val="20"/>
                <w:szCs w:val="20"/>
                <w:lang w:val="es-ES"/>
              </w:rPr>
              <w:br/>
              <w:t>Blegdamsvej 9, 2100 Copenhague Ø</w:t>
            </w:r>
            <w:r w:rsidRPr="004C6D21">
              <w:rPr>
                <w:rFonts w:asciiTheme="minorHAnsi" w:hAnsiTheme="minorHAnsi" w:cstheme="minorHAnsi"/>
                <w:sz w:val="20"/>
                <w:szCs w:val="20"/>
                <w:lang w:val="es-ES"/>
              </w:rPr>
              <w:br/>
              <w:t>Correo electrónico:</w:t>
            </w:r>
            <w:r>
              <w:rPr>
                <w:rFonts w:asciiTheme="minorHAnsi" w:hAnsiTheme="minorHAnsi" w:cstheme="minorHAnsi"/>
                <w:sz w:val="20"/>
                <w:szCs w:val="20"/>
                <w:lang w:val="es-ES"/>
              </w:rPr>
              <w:t xml:space="preserve"> </w:t>
            </w:r>
            <w:r w:rsidRPr="004C6D21">
              <w:rPr>
                <w:rFonts w:asciiTheme="minorHAnsi" w:hAnsiTheme="minorHAnsi" w:cstheme="minorHAnsi"/>
                <w:sz w:val="20"/>
                <w:szCs w:val="20"/>
                <w:lang w:val="es-ES"/>
              </w:rPr>
              <w:t>morten.hylander.moeller@regionh.dk</w:t>
            </w:r>
          </w:p>
        </w:tc>
      </w:tr>
    </w:tbl>
    <w:p w14:paraId="285C6949" w14:textId="2CED28D4" w:rsidR="00633ABE" w:rsidRPr="00BA0BB9" w:rsidRDefault="00633ABE" w:rsidP="00F70334">
      <w:pPr>
        <w:pStyle w:val="BodyText2"/>
        <w:spacing w:line="360" w:lineRule="auto"/>
        <w:rPr>
          <w:rFonts w:asciiTheme="minorHAnsi" w:hAnsiTheme="minorHAnsi" w:cstheme="minorHAnsi"/>
          <w:b w:val="0"/>
          <w:sz w:val="24"/>
          <w:szCs w:val="24"/>
          <w:lang w:val="es-ES"/>
        </w:rPr>
        <w:sectPr w:rsidR="00633ABE" w:rsidRPr="00BA0BB9" w:rsidSect="00234C26">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134" w:header="708" w:footer="708" w:gutter="0"/>
          <w:cols w:space="708"/>
          <w:docGrid w:linePitch="360"/>
        </w:sectPr>
      </w:pPr>
    </w:p>
    <w:bookmarkEnd w:id="0"/>
    <w:p w14:paraId="0BA3B0E8" w14:textId="5D0F75E4" w:rsidR="006149D7" w:rsidRPr="00BA0BB9" w:rsidRDefault="006149D7" w:rsidP="74E48D60">
      <w:pPr>
        <w:pStyle w:val="BodyText2"/>
        <w:spacing w:line="360" w:lineRule="auto"/>
        <w:rPr>
          <w:rFonts w:asciiTheme="minorHAnsi" w:hAnsiTheme="minorHAnsi" w:cstheme="minorBidi"/>
          <w:b w:val="0"/>
          <w:bCs w:val="0"/>
          <w:sz w:val="20"/>
          <w:szCs w:val="20"/>
          <w:lang w:val="es-ES"/>
        </w:rPr>
      </w:pPr>
    </w:p>
    <w:p w14:paraId="6C2A5741" w14:textId="7DDA80AC" w:rsidR="00BC232C" w:rsidRPr="00BA0BB9" w:rsidRDefault="00BC232C" w:rsidP="006149D7">
      <w:pPr>
        <w:pStyle w:val="BodyText2"/>
        <w:spacing w:line="360" w:lineRule="auto"/>
        <w:rPr>
          <w:rFonts w:asciiTheme="minorHAnsi" w:hAnsiTheme="minorHAnsi" w:cstheme="minorHAnsi"/>
          <w:b w:val="0"/>
          <w:sz w:val="20"/>
          <w:szCs w:val="20"/>
          <w:lang w:val="es-ES"/>
        </w:rPr>
        <w:sectPr w:rsidR="00BC232C" w:rsidRPr="00BA0BB9" w:rsidSect="005459ED">
          <w:headerReference w:type="default" r:id="rId14"/>
          <w:footerReference w:type="default" r:id="rId15"/>
          <w:type w:val="continuous"/>
          <w:pgSz w:w="11906" w:h="16838"/>
          <w:pgMar w:top="1701" w:right="1134" w:bottom="1701" w:left="1134" w:header="708" w:footer="708" w:gutter="0"/>
          <w:cols w:num="2" w:space="708"/>
          <w:docGrid w:linePitch="360"/>
        </w:sectPr>
      </w:pPr>
    </w:p>
    <w:p w14:paraId="77BBF579" w14:textId="77777777" w:rsidR="00F91F31" w:rsidRPr="00BA0BB9" w:rsidRDefault="00F91F31" w:rsidP="00B529C0">
      <w:pPr>
        <w:spacing w:line="360" w:lineRule="auto"/>
        <w:rPr>
          <w:rFonts w:asciiTheme="minorHAnsi" w:hAnsiTheme="minorHAnsi" w:cstheme="minorHAnsi"/>
          <w:sz w:val="22"/>
          <w:szCs w:val="22"/>
          <w:lang w:val="es-ES"/>
        </w:rPr>
      </w:pPr>
    </w:p>
    <w:sectPr w:rsidR="00F91F31" w:rsidRPr="00BA0BB9" w:rsidSect="002C5991">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E88AD" w14:textId="77777777" w:rsidR="00894B36" w:rsidRDefault="00894B36" w:rsidP="00AF07F1">
      <w:r>
        <w:separator/>
      </w:r>
    </w:p>
  </w:endnote>
  <w:endnote w:type="continuationSeparator" w:id="0">
    <w:p w14:paraId="6E5027C1" w14:textId="77777777" w:rsidR="00894B36" w:rsidRDefault="00894B36" w:rsidP="00AF07F1">
      <w:r>
        <w:continuationSeparator/>
      </w:r>
    </w:p>
  </w:endnote>
  <w:endnote w:type="continuationNotice" w:id="1">
    <w:p w14:paraId="10E2408B" w14:textId="77777777" w:rsidR="00894B36" w:rsidRDefault="00894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0444" w14:textId="77777777" w:rsidR="00A71C17" w:rsidRDefault="00A71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A691" w14:textId="77777777" w:rsidR="00F70334" w:rsidRPr="00AF07F1" w:rsidRDefault="00F70334" w:rsidP="00FB736C">
    <w:pPr>
      <w:pStyle w:val="Default"/>
    </w:pPr>
  </w:p>
  <w:p w14:paraId="2142033A" w14:textId="0B016A32" w:rsidR="00A71C17" w:rsidRPr="00E07265" w:rsidRDefault="00A71C17" w:rsidP="00A71C17">
    <w:pPr>
      <w:pStyle w:val="Footer"/>
      <w:jc w:val="center"/>
      <w:rPr>
        <w:rFonts w:ascii="Aptos" w:eastAsiaTheme="minorHAnsi" w:hAnsi="Aptos" w:cs="Calibri"/>
        <w:color w:val="000000"/>
        <w:sz w:val="18"/>
        <w:szCs w:val="18"/>
        <w:lang w:eastAsia="en-US"/>
      </w:rPr>
    </w:pPr>
    <w:r w:rsidRPr="00E07265">
      <w:rPr>
        <w:rFonts w:ascii="Aptos" w:eastAsiaTheme="minorHAnsi" w:hAnsi="Aptos" w:cs="Calibri"/>
        <w:b/>
        <w:bCs/>
        <w:color w:val="000000"/>
        <w:sz w:val="18"/>
        <w:szCs w:val="18"/>
        <w:lang w:eastAsia="en-US"/>
      </w:rPr>
      <w:t xml:space="preserve">Translated: </w:t>
    </w:r>
    <w:r w:rsidRPr="00E07265">
      <w:rPr>
        <w:rFonts w:ascii="Aptos" w:eastAsiaTheme="minorHAnsi" w:hAnsi="Aptos" w:cs="Calibri"/>
        <w:color w:val="000000"/>
        <w:sz w:val="18"/>
        <w:szCs w:val="18"/>
        <w:lang w:eastAsia="en-US"/>
      </w:rPr>
      <w:t>EMPRESS,</w:t>
    </w:r>
    <w:r w:rsidRPr="00E07265">
      <w:rPr>
        <w:rFonts w:ascii="Aptos" w:eastAsiaTheme="minorHAnsi" w:hAnsi="Aptos" w:cs="Calibri"/>
        <w:b/>
        <w:bCs/>
        <w:color w:val="000000"/>
        <w:sz w:val="18"/>
        <w:szCs w:val="18"/>
        <w:lang w:eastAsia="en-US"/>
      </w:rPr>
      <w:t xml:space="preserve"> </w:t>
    </w:r>
    <w:r w:rsidRPr="00E07265">
      <w:rPr>
        <w:rFonts w:ascii="Aptos" w:eastAsiaTheme="minorHAnsi" w:hAnsi="Aptos" w:cs="Calibri"/>
        <w:color w:val="000000"/>
        <w:sz w:val="18"/>
        <w:szCs w:val="18"/>
        <w:lang w:eastAsia="en-US"/>
      </w:rPr>
      <w:t>Information sheet –</w:t>
    </w:r>
    <w:r>
      <w:rPr>
        <w:rFonts w:ascii="Aptos" w:eastAsiaTheme="minorHAnsi" w:hAnsi="Aptos" w:cs="Calibri"/>
        <w:color w:val="000000"/>
        <w:sz w:val="18"/>
        <w:szCs w:val="18"/>
        <w:lang w:eastAsia="en-US"/>
      </w:rPr>
      <w:t xml:space="preserve"> Relative</w:t>
    </w:r>
    <w:r w:rsidRPr="00E07265">
      <w:rPr>
        <w:rFonts w:ascii="Aptos" w:eastAsiaTheme="minorHAnsi" w:hAnsi="Aptos" w:cs="Calibri"/>
        <w:color w:val="000000"/>
        <w:sz w:val="18"/>
        <w:szCs w:val="18"/>
        <w:lang w:eastAsia="en-US"/>
      </w:rPr>
      <w:t xml:space="preserve">, Version 2.1, 2025-09-25 </w:t>
    </w:r>
  </w:p>
  <w:p w14:paraId="60593B17" w14:textId="047A00A8" w:rsidR="00F70334" w:rsidRPr="00A71C17" w:rsidRDefault="00A71C17" w:rsidP="00A71C17">
    <w:pPr>
      <w:pStyle w:val="Footer"/>
      <w:jc w:val="center"/>
      <w:rPr>
        <w:rFonts w:ascii="Aptos" w:hAnsi="Aptos"/>
        <w:sz w:val="18"/>
        <w:szCs w:val="18"/>
      </w:rPr>
    </w:pPr>
    <w:r w:rsidRPr="00E07265">
      <w:rPr>
        <w:rFonts w:ascii="Aptos" w:eastAsiaTheme="minorHAnsi" w:hAnsi="Aptos" w:cs="Calibri"/>
        <w:b/>
        <w:bCs/>
        <w:color w:val="000000"/>
        <w:sz w:val="18"/>
        <w:szCs w:val="18"/>
        <w:lang w:eastAsia="en-US"/>
      </w:rPr>
      <w:t xml:space="preserve">Language: </w:t>
    </w:r>
    <w:r>
      <w:rPr>
        <w:rFonts w:ascii="Aptos" w:eastAsiaTheme="minorHAnsi" w:hAnsi="Aptos" w:cs="Calibri"/>
        <w:color w:val="000000"/>
        <w:sz w:val="18"/>
        <w:szCs w:val="18"/>
        <w:lang w:eastAsia="en-US"/>
      </w:rPr>
      <w:t>Spanish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D712" w14:textId="77777777" w:rsidR="00A71C17" w:rsidRDefault="00A71C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4F03" w14:textId="77777777" w:rsidR="00FB736C" w:rsidRPr="00AF07F1" w:rsidRDefault="00FB736C" w:rsidP="00FB736C">
    <w:pPr>
      <w:pStyle w:val="Default"/>
    </w:pPr>
  </w:p>
  <w:p w14:paraId="5D0D07CB" w14:textId="39DFEAD6" w:rsidR="00FB736C" w:rsidRPr="00F70334" w:rsidRDefault="00FB736C" w:rsidP="00FB736C">
    <w:pPr>
      <w:pStyle w:val="BodyText"/>
      <w:jc w:val="right"/>
      <w:rPr>
        <w:rFonts w:asciiTheme="minorHAnsi" w:eastAsiaTheme="minorHAnsi" w:hAnsiTheme="minorHAnsi" w:cstheme="minorHAnsi"/>
        <w:b/>
        <w:bCs/>
        <w:color w:val="000000"/>
        <w:sz w:val="18"/>
        <w:szCs w:val="18"/>
        <w:lang w:val="en-US" w:eastAsia="en-US"/>
      </w:rPr>
    </w:pPr>
    <w:r w:rsidRPr="00F70334">
      <w:rPr>
        <w:rFonts w:asciiTheme="minorHAnsi" w:eastAsiaTheme="minorHAnsi" w:hAnsiTheme="minorHAnsi" w:cstheme="minorHAnsi"/>
        <w:b/>
        <w:bCs/>
        <w:color w:val="000000"/>
        <w:sz w:val="18"/>
        <w:szCs w:val="18"/>
        <w:lang w:val="en-US" w:eastAsia="en-US"/>
      </w:rPr>
      <w:t xml:space="preserve">Information </w:t>
    </w:r>
    <w:r w:rsidR="00F70334" w:rsidRPr="00F70334">
      <w:rPr>
        <w:rFonts w:asciiTheme="minorHAnsi" w:eastAsiaTheme="minorHAnsi" w:hAnsiTheme="minorHAnsi" w:cstheme="minorHAnsi"/>
        <w:b/>
        <w:bCs/>
        <w:color w:val="000000"/>
        <w:sz w:val="18"/>
        <w:szCs w:val="18"/>
        <w:lang w:val="en-US" w:eastAsia="en-US"/>
      </w:rPr>
      <w:t>about participation in a scientific st</w:t>
    </w:r>
    <w:r w:rsidR="00F70334">
      <w:rPr>
        <w:rFonts w:asciiTheme="minorHAnsi" w:eastAsiaTheme="minorHAnsi" w:hAnsiTheme="minorHAnsi" w:cstheme="minorHAnsi"/>
        <w:b/>
        <w:bCs/>
        <w:color w:val="000000"/>
        <w:sz w:val="18"/>
        <w:szCs w:val="18"/>
        <w:lang w:val="en-US" w:eastAsia="en-US"/>
      </w:rPr>
      <w:t>udy to the relatives</w:t>
    </w:r>
    <w:r w:rsidRPr="00F70334">
      <w:rPr>
        <w:rFonts w:asciiTheme="minorHAnsi" w:eastAsiaTheme="minorHAnsi" w:hAnsiTheme="minorHAnsi" w:cstheme="minorHAnsi"/>
        <w:b/>
        <w:bCs/>
        <w:color w:val="000000"/>
        <w:sz w:val="18"/>
        <w:szCs w:val="18"/>
        <w:lang w:val="en-US" w:eastAsia="en-US"/>
      </w:rPr>
      <w:t xml:space="preserve"> </w:t>
    </w:r>
  </w:p>
  <w:p w14:paraId="57F0F18D" w14:textId="7F120A54" w:rsidR="00FB736C" w:rsidRPr="00F70334" w:rsidRDefault="00F70334" w:rsidP="00FB736C">
    <w:pPr>
      <w:pStyle w:val="BodyText"/>
      <w:jc w:val="right"/>
      <w:rPr>
        <w:rFonts w:asciiTheme="minorHAnsi" w:hAnsiTheme="minorHAnsi" w:cstheme="minorHAnsi"/>
        <w:sz w:val="18"/>
        <w:szCs w:val="18"/>
        <w:lang w:val="en-US"/>
      </w:rPr>
    </w:pPr>
    <w:r>
      <w:rPr>
        <w:rFonts w:asciiTheme="minorHAnsi" w:hAnsiTheme="minorHAnsi" w:cstheme="minorHAnsi"/>
        <w:sz w:val="18"/>
        <w:szCs w:val="18"/>
        <w:lang w:val="en-US"/>
      </w:rPr>
      <w:t>Empirical</w:t>
    </w:r>
    <w:r w:rsidR="00FB736C" w:rsidRPr="00F70334">
      <w:rPr>
        <w:rFonts w:asciiTheme="minorHAnsi" w:hAnsiTheme="minorHAnsi" w:cstheme="minorHAnsi"/>
        <w:sz w:val="18"/>
        <w:szCs w:val="18"/>
        <w:lang w:val="en-US"/>
      </w:rPr>
      <w:t xml:space="preserve"> meropenem versus piperacillin/tazobactam </w:t>
    </w:r>
    <w:r w:rsidRPr="00F70334">
      <w:rPr>
        <w:rFonts w:asciiTheme="minorHAnsi" w:hAnsiTheme="minorHAnsi" w:cstheme="minorHAnsi"/>
        <w:sz w:val="18"/>
        <w:szCs w:val="18"/>
        <w:lang w:val="en-US"/>
      </w:rPr>
      <w:t>to a</w:t>
    </w:r>
    <w:r>
      <w:rPr>
        <w:rFonts w:asciiTheme="minorHAnsi" w:hAnsiTheme="minorHAnsi" w:cstheme="minorHAnsi"/>
        <w:sz w:val="18"/>
        <w:szCs w:val="18"/>
        <w:lang w:val="en-US"/>
      </w:rPr>
      <w:t>dult patients</w:t>
    </w:r>
    <w:r w:rsidR="00FB736C" w:rsidRPr="00F70334">
      <w:rPr>
        <w:rFonts w:asciiTheme="minorHAnsi" w:hAnsiTheme="minorHAnsi" w:cstheme="minorHAnsi"/>
        <w:sz w:val="18"/>
        <w:szCs w:val="18"/>
        <w:lang w:val="en-US"/>
      </w:rPr>
      <w:t xml:space="preserve"> </w:t>
    </w:r>
    <w:r>
      <w:rPr>
        <w:rFonts w:asciiTheme="minorHAnsi" w:hAnsiTheme="minorHAnsi" w:cstheme="minorHAnsi"/>
        <w:sz w:val="18"/>
        <w:szCs w:val="18"/>
        <w:lang w:val="en-US"/>
      </w:rPr>
      <w:t>with</w:t>
    </w:r>
    <w:r w:rsidR="00FB736C" w:rsidRPr="00F70334">
      <w:rPr>
        <w:rFonts w:asciiTheme="minorHAnsi" w:hAnsiTheme="minorHAnsi" w:cstheme="minorHAnsi"/>
        <w:sz w:val="18"/>
        <w:szCs w:val="18"/>
        <w:lang w:val="en-US"/>
      </w:rPr>
      <w:t xml:space="preserve"> sepsis</w:t>
    </w:r>
  </w:p>
  <w:p w14:paraId="22674E4E" w14:textId="50D35FEB" w:rsidR="00FB736C" w:rsidRPr="00F70334" w:rsidRDefault="00F70334" w:rsidP="00FB736C">
    <w:pPr>
      <w:pStyle w:val="Header"/>
      <w:jc w:val="right"/>
      <w:rPr>
        <w:lang w:val="en-US"/>
      </w:rPr>
    </w:pPr>
    <w:r>
      <w:rPr>
        <w:rFonts w:ascii="Calibri" w:eastAsiaTheme="minorHAnsi" w:hAnsi="Calibri" w:cs="Calibri"/>
        <w:color w:val="000000"/>
        <w:sz w:val="18"/>
        <w:szCs w:val="18"/>
        <w:lang w:val="en-US" w:eastAsia="en-US"/>
      </w:rPr>
      <w:t>March 1, 2024</w:t>
    </w:r>
    <w:r w:rsidR="00214BD2" w:rsidRPr="00F70334">
      <w:rPr>
        <w:rFonts w:ascii="Calibri" w:eastAsiaTheme="minorHAnsi" w:hAnsi="Calibri" w:cs="Calibri"/>
        <w:color w:val="000000"/>
        <w:sz w:val="18"/>
        <w:szCs w:val="18"/>
        <w:lang w:val="en-US" w:eastAsia="en-US"/>
      </w:rPr>
      <w:t>,</w:t>
    </w:r>
    <w:r w:rsidR="00FB736C" w:rsidRPr="00F70334">
      <w:rPr>
        <w:rFonts w:ascii="Calibri" w:eastAsiaTheme="minorHAnsi" w:hAnsi="Calibri" w:cs="Calibri"/>
        <w:color w:val="000000"/>
        <w:sz w:val="18"/>
        <w:szCs w:val="18"/>
        <w:lang w:val="en-US" w:eastAsia="en-US"/>
      </w:rPr>
      <w:t xml:space="preserve"> version </w:t>
    </w:r>
    <w:r w:rsidR="00E2520A" w:rsidRPr="00F70334">
      <w:rPr>
        <w:rFonts w:ascii="Calibri" w:eastAsiaTheme="minorHAnsi" w:hAnsi="Calibri" w:cs="Calibri"/>
        <w:color w:val="000000"/>
        <w:sz w:val="18"/>
        <w:szCs w:val="18"/>
        <w:lang w:val="en-US" w:eastAsia="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935D0" w14:textId="77777777" w:rsidR="00894B36" w:rsidRDefault="00894B36" w:rsidP="00AF07F1">
      <w:r>
        <w:separator/>
      </w:r>
    </w:p>
  </w:footnote>
  <w:footnote w:type="continuationSeparator" w:id="0">
    <w:p w14:paraId="44BDAF09" w14:textId="77777777" w:rsidR="00894B36" w:rsidRDefault="00894B36" w:rsidP="00AF07F1">
      <w:r>
        <w:continuationSeparator/>
      </w:r>
    </w:p>
  </w:footnote>
  <w:footnote w:type="continuationNotice" w:id="1">
    <w:p w14:paraId="1C2F9167" w14:textId="77777777" w:rsidR="00894B36" w:rsidRDefault="00894B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3205" w14:textId="77777777" w:rsidR="00A71C17" w:rsidRDefault="00A71C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2641" w14:textId="77777777" w:rsidR="00F70334" w:rsidRPr="00E36091" w:rsidRDefault="00F70334"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60288" behindDoc="0" locked="0" layoutInCell="1" allowOverlap="1" wp14:anchorId="6BA90800" wp14:editId="4EA4D2C6">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9063" w14:textId="77777777" w:rsidR="00A71C17" w:rsidRDefault="00A71C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9F1570"/>
    <w:multiLevelType w:val="multilevel"/>
    <w:tmpl w:val="3B4A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4"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CB586A"/>
    <w:multiLevelType w:val="hybridMultilevel"/>
    <w:tmpl w:val="77464C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A746B48"/>
    <w:multiLevelType w:val="multilevel"/>
    <w:tmpl w:val="F3B6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970DA"/>
    <w:multiLevelType w:val="hybridMultilevel"/>
    <w:tmpl w:val="4CFCD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12049A1"/>
    <w:multiLevelType w:val="multilevel"/>
    <w:tmpl w:val="F4C2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3A214E"/>
    <w:multiLevelType w:val="hybridMultilevel"/>
    <w:tmpl w:val="E56AD4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5970588"/>
    <w:multiLevelType w:val="multilevel"/>
    <w:tmpl w:val="C23A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14"/>
  </w:num>
  <w:num w:numId="2" w16cid:durableId="2027363915">
    <w:abstractNumId w:val="6"/>
  </w:num>
  <w:num w:numId="3" w16cid:durableId="324016391">
    <w:abstractNumId w:val="3"/>
  </w:num>
  <w:num w:numId="4" w16cid:durableId="592981955">
    <w:abstractNumId w:val="11"/>
  </w:num>
  <w:num w:numId="5" w16cid:durableId="2122915461">
    <w:abstractNumId w:val="1"/>
  </w:num>
  <w:num w:numId="6" w16cid:durableId="762149387">
    <w:abstractNumId w:val="0"/>
  </w:num>
  <w:num w:numId="7" w16cid:durableId="1657760343">
    <w:abstractNumId w:val="4"/>
  </w:num>
  <w:num w:numId="8" w16cid:durableId="1922788166">
    <w:abstractNumId w:val="5"/>
  </w:num>
  <w:num w:numId="9" w16cid:durableId="552497991">
    <w:abstractNumId w:val="12"/>
  </w:num>
  <w:num w:numId="10" w16cid:durableId="1366443587">
    <w:abstractNumId w:val="8"/>
  </w:num>
  <w:num w:numId="11" w16cid:durableId="1256985406">
    <w:abstractNumId w:val="10"/>
  </w:num>
  <w:num w:numId="12" w16cid:durableId="304357554">
    <w:abstractNumId w:val="13"/>
  </w:num>
  <w:num w:numId="13" w16cid:durableId="260727324">
    <w:abstractNumId w:val="2"/>
  </w:num>
  <w:num w:numId="14" w16cid:durableId="1859927194">
    <w:abstractNumId w:val="7"/>
  </w:num>
  <w:num w:numId="15" w16cid:durableId="1027744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3B7A"/>
    <w:rsid w:val="000047A2"/>
    <w:rsid w:val="00005B58"/>
    <w:rsid w:val="00007754"/>
    <w:rsid w:val="00012FBB"/>
    <w:rsid w:val="00017B03"/>
    <w:rsid w:val="00032912"/>
    <w:rsid w:val="00042D77"/>
    <w:rsid w:val="0004783F"/>
    <w:rsid w:val="00047882"/>
    <w:rsid w:val="000502AD"/>
    <w:rsid w:val="0006591B"/>
    <w:rsid w:val="00074674"/>
    <w:rsid w:val="000813E3"/>
    <w:rsid w:val="0009071B"/>
    <w:rsid w:val="00091B48"/>
    <w:rsid w:val="00096EEB"/>
    <w:rsid w:val="000A078B"/>
    <w:rsid w:val="000B47D2"/>
    <w:rsid w:val="00116160"/>
    <w:rsid w:val="00124F4C"/>
    <w:rsid w:val="00125500"/>
    <w:rsid w:val="00136E5F"/>
    <w:rsid w:val="001373D9"/>
    <w:rsid w:val="0015260A"/>
    <w:rsid w:val="001527FF"/>
    <w:rsid w:val="00161625"/>
    <w:rsid w:val="00162161"/>
    <w:rsid w:val="00162BFC"/>
    <w:rsid w:val="00164804"/>
    <w:rsid w:val="00173F55"/>
    <w:rsid w:val="00174F90"/>
    <w:rsid w:val="00185A33"/>
    <w:rsid w:val="001933F8"/>
    <w:rsid w:val="001964DC"/>
    <w:rsid w:val="001A0009"/>
    <w:rsid w:val="001B40A8"/>
    <w:rsid w:val="001B68E9"/>
    <w:rsid w:val="001C18B7"/>
    <w:rsid w:val="001C5005"/>
    <w:rsid w:val="001D1867"/>
    <w:rsid w:val="001D2DDF"/>
    <w:rsid w:val="001F2818"/>
    <w:rsid w:val="00202CEA"/>
    <w:rsid w:val="0020474D"/>
    <w:rsid w:val="00207013"/>
    <w:rsid w:val="00214BD2"/>
    <w:rsid w:val="00233A93"/>
    <w:rsid w:val="002371AA"/>
    <w:rsid w:val="00241944"/>
    <w:rsid w:val="00243B55"/>
    <w:rsid w:val="002469A9"/>
    <w:rsid w:val="002500BB"/>
    <w:rsid w:val="002501BC"/>
    <w:rsid w:val="00281F82"/>
    <w:rsid w:val="00295277"/>
    <w:rsid w:val="00295CEA"/>
    <w:rsid w:val="002A1B4A"/>
    <w:rsid w:val="002A274E"/>
    <w:rsid w:val="002A38BA"/>
    <w:rsid w:val="002B0DD8"/>
    <w:rsid w:val="002B12DD"/>
    <w:rsid w:val="002B1CAA"/>
    <w:rsid w:val="002B434B"/>
    <w:rsid w:val="002C5991"/>
    <w:rsid w:val="002E279D"/>
    <w:rsid w:val="002E6B52"/>
    <w:rsid w:val="002F5604"/>
    <w:rsid w:val="00301116"/>
    <w:rsid w:val="00331F72"/>
    <w:rsid w:val="00335AC8"/>
    <w:rsid w:val="00354A55"/>
    <w:rsid w:val="00371435"/>
    <w:rsid w:val="003844C9"/>
    <w:rsid w:val="00392669"/>
    <w:rsid w:val="003A0D7B"/>
    <w:rsid w:val="003A0DB9"/>
    <w:rsid w:val="003A268C"/>
    <w:rsid w:val="003A4B3A"/>
    <w:rsid w:val="003D3F58"/>
    <w:rsid w:val="003E024C"/>
    <w:rsid w:val="003E68AF"/>
    <w:rsid w:val="003F5C42"/>
    <w:rsid w:val="00407EA3"/>
    <w:rsid w:val="00417C07"/>
    <w:rsid w:val="00422ED8"/>
    <w:rsid w:val="00426886"/>
    <w:rsid w:val="00433796"/>
    <w:rsid w:val="00461EF7"/>
    <w:rsid w:val="004710CF"/>
    <w:rsid w:val="004769C4"/>
    <w:rsid w:val="004A3DB1"/>
    <w:rsid w:val="004B51BD"/>
    <w:rsid w:val="004C3804"/>
    <w:rsid w:val="004C44BC"/>
    <w:rsid w:val="004C6D21"/>
    <w:rsid w:val="004D046F"/>
    <w:rsid w:val="004D64EC"/>
    <w:rsid w:val="004E25C4"/>
    <w:rsid w:val="004E6BBB"/>
    <w:rsid w:val="004F2F28"/>
    <w:rsid w:val="00500A5F"/>
    <w:rsid w:val="00512AB5"/>
    <w:rsid w:val="00524573"/>
    <w:rsid w:val="005270F6"/>
    <w:rsid w:val="005459ED"/>
    <w:rsid w:val="005473D7"/>
    <w:rsid w:val="00567CD1"/>
    <w:rsid w:val="00571DA7"/>
    <w:rsid w:val="005737A5"/>
    <w:rsid w:val="005776C8"/>
    <w:rsid w:val="00577B8C"/>
    <w:rsid w:val="00581933"/>
    <w:rsid w:val="00582BF2"/>
    <w:rsid w:val="0059043F"/>
    <w:rsid w:val="00590CF7"/>
    <w:rsid w:val="00591B06"/>
    <w:rsid w:val="005A165B"/>
    <w:rsid w:val="005B7036"/>
    <w:rsid w:val="005C641E"/>
    <w:rsid w:val="005E16F2"/>
    <w:rsid w:val="005F2AA5"/>
    <w:rsid w:val="005F6472"/>
    <w:rsid w:val="005F793C"/>
    <w:rsid w:val="00607CCB"/>
    <w:rsid w:val="006149D7"/>
    <w:rsid w:val="00620183"/>
    <w:rsid w:val="006256CC"/>
    <w:rsid w:val="00626A83"/>
    <w:rsid w:val="00633ABE"/>
    <w:rsid w:val="00634619"/>
    <w:rsid w:val="00643C29"/>
    <w:rsid w:val="006579D7"/>
    <w:rsid w:val="00671391"/>
    <w:rsid w:val="006818CD"/>
    <w:rsid w:val="00683650"/>
    <w:rsid w:val="00697303"/>
    <w:rsid w:val="006B785C"/>
    <w:rsid w:val="006C4184"/>
    <w:rsid w:val="006D415F"/>
    <w:rsid w:val="006D6C6D"/>
    <w:rsid w:val="006E1988"/>
    <w:rsid w:val="006E36D0"/>
    <w:rsid w:val="006F0552"/>
    <w:rsid w:val="006F7F00"/>
    <w:rsid w:val="00701C19"/>
    <w:rsid w:val="00702634"/>
    <w:rsid w:val="0070305A"/>
    <w:rsid w:val="0070539E"/>
    <w:rsid w:val="007124E3"/>
    <w:rsid w:val="00734EC0"/>
    <w:rsid w:val="0074162C"/>
    <w:rsid w:val="00763C1D"/>
    <w:rsid w:val="007647C7"/>
    <w:rsid w:val="00776756"/>
    <w:rsid w:val="00784060"/>
    <w:rsid w:val="007914AA"/>
    <w:rsid w:val="007A190D"/>
    <w:rsid w:val="007A652A"/>
    <w:rsid w:val="007B45FE"/>
    <w:rsid w:val="007C0850"/>
    <w:rsid w:val="007D2A48"/>
    <w:rsid w:val="007D4226"/>
    <w:rsid w:val="007D693C"/>
    <w:rsid w:val="007E7B25"/>
    <w:rsid w:val="00802B15"/>
    <w:rsid w:val="00816053"/>
    <w:rsid w:val="00826C0B"/>
    <w:rsid w:val="00834CAE"/>
    <w:rsid w:val="00843A4D"/>
    <w:rsid w:val="008452C5"/>
    <w:rsid w:val="00875D37"/>
    <w:rsid w:val="00876E26"/>
    <w:rsid w:val="0088016F"/>
    <w:rsid w:val="00883CE9"/>
    <w:rsid w:val="008919EE"/>
    <w:rsid w:val="00894B36"/>
    <w:rsid w:val="008B2D3E"/>
    <w:rsid w:val="008D10E7"/>
    <w:rsid w:val="008F077B"/>
    <w:rsid w:val="008F550C"/>
    <w:rsid w:val="009033A5"/>
    <w:rsid w:val="00920301"/>
    <w:rsid w:val="00923B01"/>
    <w:rsid w:val="00923EE8"/>
    <w:rsid w:val="00930F38"/>
    <w:rsid w:val="00935C4F"/>
    <w:rsid w:val="00936F93"/>
    <w:rsid w:val="00946DAB"/>
    <w:rsid w:val="00957ED9"/>
    <w:rsid w:val="00972450"/>
    <w:rsid w:val="0097348C"/>
    <w:rsid w:val="00993BDD"/>
    <w:rsid w:val="00995B21"/>
    <w:rsid w:val="009B122B"/>
    <w:rsid w:val="009B519F"/>
    <w:rsid w:val="009B528B"/>
    <w:rsid w:val="009B53D9"/>
    <w:rsid w:val="009C0337"/>
    <w:rsid w:val="009C2349"/>
    <w:rsid w:val="009C2381"/>
    <w:rsid w:val="009C44F7"/>
    <w:rsid w:val="009F12E2"/>
    <w:rsid w:val="009F3AC2"/>
    <w:rsid w:val="00A02F34"/>
    <w:rsid w:val="00A0676D"/>
    <w:rsid w:val="00A26FEA"/>
    <w:rsid w:val="00A37855"/>
    <w:rsid w:val="00A4204C"/>
    <w:rsid w:val="00A52FC2"/>
    <w:rsid w:val="00A55039"/>
    <w:rsid w:val="00A60439"/>
    <w:rsid w:val="00A630B3"/>
    <w:rsid w:val="00A71C17"/>
    <w:rsid w:val="00A757CD"/>
    <w:rsid w:val="00A75EAB"/>
    <w:rsid w:val="00A9070A"/>
    <w:rsid w:val="00A910EE"/>
    <w:rsid w:val="00AA0C2F"/>
    <w:rsid w:val="00AC00F4"/>
    <w:rsid w:val="00AC09F4"/>
    <w:rsid w:val="00AC5400"/>
    <w:rsid w:val="00AF07F1"/>
    <w:rsid w:val="00B07C83"/>
    <w:rsid w:val="00B1033A"/>
    <w:rsid w:val="00B21574"/>
    <w:rsid w:val="00B312E4"/>
    <w:rsid w:val="00B421FE"/>
    <w:rsid w:val="00B45CB9"/>
    <w:rsid w:val="00B51E09"/>
    <w:rsid w:val="00B529C0"/>
    <w:rsid w:val="00B5529E"/>
    <w:rsid w:val="00B620CB"/>
    <w:rsid w:val="00B65130"/>
    <w:rsid w:val="00B87DCC"/>
    <w:rsid w:val="00B953D2"/>
    <w:rsid w:val="00BA0BB9"/>
    <w:rsid w:val="00BA12E4"/>
    <w:rsid w:val="00BA138A"/>
    <w:rsid w:val="00BA61AB"/>
    <w:rsid w:val="00BB4FA3"/>
    <w:rsid w:val="00BC232C"/>
    <w:rsid w:val="00BC6479"/>
    <w:rsid w:val="00BC7FB1"/>
    <w:rsid w:val="00BD7BF2"/>
    <w:rsid w:val="00BE5F84"/>
    <w:rsid w:val="00BF2818"/>
    <w:rsid w:val="00C025DF"/>
    <w:rsid w:val="00C02622"/>
    <w:rsid w:val="00C02FFA"/>
    <w:rsid w:val="00C05FB3"/>
    <w:rsid w:val="00C14BFE"/>
    <w:rsid w:val="00C25694"/>
    <w:rsid w:val="00C27403"/>
    <w:rsid w:val="00C326BF"/>
    <w:rsid w:val="00C53122"/>
    <w:rsid w:val="00C62B7C"/>
    <w:rsid w:val="00C810DA"/>
    <w:rsid w:val="00C97FAC"/>
    <w:rsid w:val="00CA0E2A"/>
    <w:rsid w:val="00CA41B2"/>
    <w:rsid w:val="00CB329F"/>
    <w:rsid w:val="00CF0076"/>
    <w:rsid w:val="00D16DB8"/>
    <w:rsid w:val="00D40281"/>
    <w:rsid w:val="00D4569E"/>
    <w:rsid w:val="00D54643"/>
    <w:rsid w:val="00D5578B"/>
    <w:rsid w:val="00D55839"/>
    <w:rsid w:val="00D562F0"/>
    <w:rsid w:val="00D66301"/>
    <w:rsid w:val="00D857CD"/>
    <w:rsid w:val="00D94F34"/>
    <w:rsid w:val="00DB0F0D"/>
    <w:rsid w:val="00DC2630"/>
    <w:rsid w:val="00DC67A4"/>
    <w:rsid w:val="00DD0500"/>
    <w:rsid w:val="00DE2D70"/>
    <w:rsid w:val="00DE7F5E"/>
    <w:rsid w:val="00E2520A"/>
    <w:rsid w:val="00E36091"/>
    <w:rsid w:val="00E454B0"/>
    <w:rsid w:val="00E47602"/>
    <w:rsid w:val="00E5609D"/>
    <w:rsid w:val="00E57CE6"/>
    <w:rsid w:val="00E61832"/>
    <w:rsid w:val="00E83B8D"/>
    <w:rsid w:val="00E8517B"/>
    <w:rsid w:val="00E8730E"/>
    <w:rsid w:val="00EA6ABF"/>
    <w:rsid w:val="00EB1EDD"/>
    <w:rsid w:val="00EE1F22"/>
    <w:rsid w:val="00EE2113"/>
    <w:rsid w:val="00F04863"/>
    <w:rsid w:val="00F17199"/>
    <w:rsid w:val="00F21DCC"/>
    <w:rsid w:val="00F4105C"/>
    <w:rsid w:val="00F45311"/>
    <w:rsid w:val="00F50826"/>
    <w:rsid w:val="00F564E2"/>
    <w:rsid w:val="00F614C1"/>
    <w:rsid w:val="00F70334"/>
    <w:rsid w:val="00F72D7C"/>
    <w:rsid w:val="00F73E7B"/>
    <w:rsid w:val="00F91F31"/>
    <w:rsid w:val="00F972CD"/>
    <w:rsid w:val="00FA06E3"/>
    <w:rsid w:val="00FB27C8"/>
    <w:rsid w:val="00FB3298"/>
    <w:rsid w:val="00FB736C"/>
    <w:rsid w:val="00FC6638"/>
    <w:rsid w:val="00FD6677"/>
    <w:rsid w:val="00FE14A4"/>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val="en-GB" w:eastAsia="da-DK"/>
    </w:rPr>
  </w:style>
  <w:style w:type="paragraph" w:styleId="Heading1">
    <w:name w:val="heading 1"/>
    <w:basedOn w:val="Normal"/>
    <w:next w:val="Normal"/>
    <w:link w:val="Heading1Char"/>
    <w:qFormat/>
    <w:rsid w:val="00923EE8"/>
    <w:pPr>
      <w:keepNext/>
      <w:outlineLvl w:val="0"/>
    </w:pPr>
    <w:rPr>
      <w:rFonts w:ascii="Arial" w:hAnsi="Arial" w:cs="Arial"/>
      <w:b/>
      <w:bCs/>
      <w:sz w:val="22"/>
      <w:szCs w:val="22"/>
    </w:rPr>
  </w:style>
  <w:style w:type="paragraph" w:styleId="Heading2">
    <w:name w:val="heading 2"/>
    <w:basedOn w:val="Normal"/>
    <w:next w:val="Normal"/>
    <w:link w:val="Heading2Char"/>
    <w:qFormat/>
    <w:rsid w:val="00923EE8"/>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semiHidden/>
    <w:rsid w:val="00816053"/>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semiHidden/>
    <w:rsid w:val="00816053"/>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Header">
    <w:name w:val="header"/>
    <w:basedOn w:val="Normal"/>
    <w:link w:val="HeaderChar"/>
    <w:uiPriority w:val="99"/>
    <w:unhideWhenUsed/>
    <w:rsid w:val="00AF07F1"/>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00AF07F1"/>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00426886"/>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009B519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001D1867"/>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00042D77"/>
    <w:pPr>
      <w:numPr>
        <w:numId w:val="5"/>
      </w:numPr>
      <w:contextualSpacing/>
    </w:pPr>
  </w:style>
  <w:style w:type="paragraph" w:styleId="ListNumber">
    <w:name w:val="List Number"/>
    <w:basedOn w:val="Normal"/>
    <w:uiPriority w:val="99"/>
    <w:semiHidden/>
    <w:unhideWhenUsed/>
    <w:rsid w:val="00042D77"/>
    <w:pPr>
      <w:numPr>
        <w:numId w:val="6"/>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633ABE"/>
    <w:rPr>
      <w:b/>
      <w:bCs/>
    </w:rPr>
  </w:style>
  <w:style w:type="table" w:styleId="TableGrid">
    <w:name w:val="Table Grid"/>
    <w:basedOn w:val="TableNormal"/>
    <w:uiPriority w:val="59"/>
    <w:rsid w:val="00633AB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783527">
      <w:bodyDiv w:val="1"/>
      <w:marLeft w:val="0"/>
      <w:marRight w:val="0"/>
      <w:marTop w:val="0"/>
      <w:marBottom w:val="0"/>
      <w:divBdr>
        <w:top w:val="none" w:sz="0" w:space="0" w:color="auto"/>
        <w:left w:val="none" w:sz="0" w:space="0" w:color="auto"/>
        <w:bottom w:val="none" w:sz="0" w:space="0" w:color="auto"/>
        <w:right w:val="none" w:sz="0" w:space="0" w:color="auto"/>
      </w:divBdr>
    </w:div>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 w:id="14782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1482</Words>
  <Characters>8450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15</cp:revision>
  <cp:lastPrinted>2020-03-29T20:46:00Z</cp:lastPrinted>
  <dcterms:created xsi:type="dcterms:W3CDTF">2025-03-26T06:01:00Z</dcterms:created>
  <dcterms:modified xsi:type="dcterms:W3CDTF">2026-04-30T12:08:00Z</dcterms:modified>
</cp:coreProperties>
</file>