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B1BF" w14:textId="77777777" w:rsidR="0097348C" w:rsidRPr="00EB1EDD" w:rsidRDefault="0097348C" w:rsidP="28EACE75">
      <w:pPr>
        <w:pStyle w:val="Default"/>
        <w:spacing w:line="360" w:lineRule="auto"/>
        <w:rPr>
          <w:rFonts w:asciiTheme="minorHAnsi" w:hAnsiTheme="minorHAnsi" w:cstheme="minorBidi"/>
          <w:b/>
          <w:bCs/>
          <w:sz w:val="18"/>
          <w:szCs w:val="18"/>
          <w:u w:val="single"/>
          <w:lang w:val="en-GB"/>
        </w:rPr>
      </w:pPr>
    </w:p>
    <w:p w14:paraId="2ED58EF6" w14:textId="16956CC3" w:rsidR="19BD6C0C" w:rsidRDefault="19BD6C0C" w:rsidP="28EACE75">
      <w:pPr>
        <w:pStyle w:val="Default"/>
        <w:spacing w:line="360" w:lineRule="auto"/>
        <w:rPr>
          <w:rFonts w:asciiTheme="minorHAnsi" w:hAnsiTheme="minorHAnsi" w:cstheme="minorBidi"/>
          <w:b/>
          <w:bCs/>
          <w:sz w:val="40"/>
          <w:szCs w:val="40"/>
          <w:u w:val="single"/>
          <w:lang w:val="en-GB"/>
        </w:rPr>
      </w:pPr>
      <w:r w:rsidRPr="000C6770">
        <w:rPr>
          <w:rFonts w:asciiTheme="minorHAnsi" w:hAnsiTheme="minorHAnsi" w:cstheme="minorBidi"/>
          <w:b/>
          <w:bCs/>
          <w:sz w:val="40"/>
          <w:szCs w:val="40"/>
          <w:u w:val="single"/>
          <w:lang w:val="en-GB"/>
        </w:rPr>
        <w:t xml:space="preserve">Ai parenti  </w:t>
      </w:r>
    </w:p>
    <w:p w14:paraId="0805143A" w14:textId="77777777" w:rsidR="00816053" w:rsidRPr="00EB1EDD" w:rsidRDefault="00816053" w:rsidP="28EACE75">
      <w:pPr>
        <w:pStyle w:val="BodyText2"/>
        <w:spacing w:line="360" w:lineRule="auto"/>
        <w:rPr>
          <w:rFonts w:asciiTheme="minorHAnsi" w:hAnsiTheme="minorHAnsi" w:cstheme="minorBidi"/>
          <w:sz w:val="32"/>
          <w:szCs w:val="32"/>
        </w:rPr>
      </w:pPr>
    </w:p>
    <w:p w14:paraId="24EF7AC2" w14:textId="51BB051E" w:rsidR="19BD6C0C" w:rsidRDefault="19BD6C0C" w:rsidP="28EACE75">
      <w:pPr>
        <w:pStyle w:val="BodyText"/>
        <w:spacing w:line="360" w:lineRule="auto"/>
        <w:jc w:val="center"/>
        <w:rPr>
          <w:rFonts w:asciiTheme="minorHAnsi" w:hAnsiTheme="minorHAnsi" w:cstheme="minorBidi"/>
          <w:b/>
          <w:bCs/>
          <w:sz w:val="32"/>
          <w:szCs w:val="32"/>
        </w:rPr>
      </w:pPr>
      <w:r w:rsidRPr="28EACE75">
        <w:rPr>
          <w:rFonts w:asciiTheme="minorHAnsi" w:hAnsiTheme="minorHAnsi" w:cstheme="minorBidi"/>
          <w:b/>
          <w:bCs/>
          <w:sz w:val="32"/>
          <w:szCs w:val="32"/>
        </w:rPr>
        <w:t xml:space="preserve">Informazioni sulla partecipazione a una sperimentazione scientifica per pazienti ricoverati con sepsi e malattia critica  </w:t>
      </w:r>
      <w:bookmarkStart w:id="0" w:name="_Hlk192137013"/>
    </w:p>
    <w:p w14:paraId="19D47002" w14:textId="77777777" w:rsidR="00F70334" w:rsidRPr="00EB1EDD" w:rsidRDefault="00F70334" w:rsidP="28EACE75">
      <w:pPr>
        <w:pStyle w:val="BodyText"/>
        <w:spacing w:line="360" w:lineRule="auto"/>
        <w:rPr>
          <w:rFonts w:asciiTheme="minorHAnsi" w:hAnsiTheme="minorHAnsi" w:cstheme="minorBidi"/>
          <w:b/>
          <w:bCs/>
        </w:rPr>
      </w:pPr>
    </w:p>
    <w:p w14:paraId="05D9CA48" w14:textId="77777777" w:rsidR="00F70334" w:rsidRPr="00EB1EDD" w:rsidRDefault="00F70334" w:rsidP="28EACE75">
      <w:pPr>
        <w:pStyle w:val="BodyText"/>
        <w:spacing w:line="360" w:lineRule="auto"/>
        <w:rPr>
          <w:rFonts w:asciiTheme="minorHAnsi" w:hAnsiTheme="minorHAnsi" w:cstheme="minorBidi"/>
          <w:b/>
          <w:bCs/>
          <w:sz w:val="28"/>
          <w:szCs w:val="28"/>
        </w:rPr>
      </w:pPr>
      <w:r w:rsidRPr="28EACE75">
        <w:rPr>
          <w:rFonts w:asciiTheme="minorHAnsi" w:hAnsiTheme="minorHAnsi" w:cstheme="minorBidi"/>
          <w:b/>
          <w:bCs/>
          <w:sz w:val="28"/>
          <w:szCs w:val="28"/>
        </w:rPr>
        <w:t>EU CT-number: 2023-509703-33-00</w:t>
      </w:r>
    </w:p>
    <w:p w14:paraId="0F31EB10" w14:textId="77777777" w:rsidR="00F70334" w:rsidRPr="00EB1EDD" w:rsidRDefault="00F70334" w:rsidP="28EACE75">
      <w:pPr>
        <w:pStyle w:val="BodyText"/>
        <w:spacing w:line="360" w:lineRule="auto"/>
        <w:rPr>
          <w:rFonts w:asciiTheme="minorHAnsi" w:hAnsiTheme="minorHAnsi" w:cstheme="minorBidi"/>
          <w:b/>
          <w:bCs/>
        </w:rPr>
      </w:pPr>
    </w:p>
    <w:bookmarkEnd w:id="0"/>
    <w:p w14:paraId="0598A1D8" w14:textId="49CDB6C3" w:rsidR="0BC328D9" w:rsidRDefault="0BC328D9" w:rsidP="28EACE75">
      <w:pPr>
        <w:spacing w:line="360" w:lineRule="auto"/>
        <w:rPr>
          <w:rFonts w:asciiTheme="minorHAnsi" w:hAnsiTheme="minorHAnsi" w:cstheme="minorBidi"/>
        </w:rPr>
      </w:pPr>
      <w:r w:rsidRPr="28EACE75">
        <w:rPr>
          <w:rFonts w:asciiTheme="minorHAnsi" w:hAnsiTheme="minorHAnsi" w:cstheme="minorBidi"/>
          <w:b/>
          <w:bCs/>
        </w:rPr>
        <w:t xml:space="preserve">Titolo dello studio </w:t>
      </w:r>
      <w:r>
        <w:br/>
      </w:r>
      <w:r w:rsidRPr="28EACE75">
        <w:rPr>
          <w:rFonts w:asciiTheme="minorHAnsi" w:hAnsiTheme="minorHAnsi" w:cstheme="minorBidi"/>
        </w:rPr>
        <w:t xml:space="preserve">Empirical meropenem vs piperacillin/tazobactam for adult patients with sepsis (EMPRESS) </w:t>
      </w:r>
    </w:p>
    <w:p w14:paraId="6684CBC2" w14:textId="11CC288A" w:rsidR="0BC328D9" w:rsidRDefault="0BC328D9" w:rsidP="28EACE75">
      <w:pPr>
        <w:spacing w:line="360" w:lineRule="auto"/>
      </w:pPr>
      <w:r w:rsidRPr="28EACE75">
        <w:rPr>
          <w:rFonts w:asciiTheme="minorHAnsi" w:hAnsiTheme="minorHAnsi" w:cstheme="minorBidi"/>
          <w:b/>
          <w:bCs/>
        </w:rPr>
        <w:t>Titolo in italiano</w:t>
      </w:r>
      <w:r w:rsidRPr="28EACE75">
        <w:rPr>
          <w:rFonts w:asciiTheme="minorHAnsi" w:hAnsiTheme="minorHAnsi" w:cstheme="minorBidi"/>
        </w:rPr>
        <w:t xml:space="preserve"> </w:t>
      </w:r>
      <w:r>
        <w:br/>
      </w:r>
      <w:r w:rsidRPr="28EACE75">
        <w:rPr>
          <w:rFonts w:asciiTheme="minorHAnsi" w:hAnsiTheme="minorHAnsi" w:cstheme="minorBidi"/>
        </w:rPr>
        <w:t>Meropenem versus piperacillina/tazobactan empirici per pazienti adulti affetti da sepsi (EMPRESS)</w:t>
      </w:r>
    </w:p>
    <w:p w14:paraId="439E9F6A" w14:textId="77777777" w:rsidR="00E36091" w:rsidRPr="00EB1EDD" w:rsidRDefault="00E36091" w:rsidP="28EACE75">
      <w:pPr>
        <w:pStyle w:val="BodyText"/>
        <w:spacing w:line="360" w:lineRule="auto"/>
        <w:rPr>
          <w:rFonts w:asciiTheme="minorHAnsi" w:hAnsiTheme="minorHAnsi" w:cstheme="minorBidi"/>
          <w:sz w:val="26"/>
          <w:szCs w:val="26"/>
        </w:rPr>
      </w:pPr>
    </w:p>
    <w:p w14:paraId="3FD2FED7" w14:textId="2DF29CA3" w:rsidR="00295277" w:rsidRPr="00EB1EDD" w:rsidRDefault="00F70334" w:rsidP="28EACE75">
      <w:pPr>
        <w:pStyle w:val="BodyText"/>
        <w:spacing w:line="360" w:lineRule="auto"/>
        <w:rPr>
          <w:rFonts w:asciiTheme="minorHAnsi" w:hAnsiTheme="minorHAnsi" w:cstheme="minorBidi"/>
          <w:b/>
          <w:bCs/>
          <w:sz w:val="24"/>
          <w:szCs w:val="24"/>
        </w:rPr>
      </w:pPr>
      <w:r w:rsidRPr="28EACE75">
        <w:rPr>
          <w:rFonts w:asciiTheme="minorHAnsi" w:hAnsiTheme="minorHAnsi" w:cstheme="minorBidi"/>
          <w:b/>
          <w:bCs/>
          <w:sz w:val="24"/>
          <w:szCs w:val="24"/>
        </w:rPr>
        <w:t>Introd</w:t>
      </w:r>
      <w:r w:rsidR="03EAA313" w:rsidRPr="28EACE75">
        <w:rPr>
          <w:rFonts w:asciiTheme="minorHAnsi" w:hAnsiTheme="minorHAnsi" w:cstheme="minorBidi"/>
          <w:b/>
          <w:bCs/>
          <w:sz w:val="24"/>
          <w:szCs w:val="24"/>
        </w:rPr>
        <w:t>uzione</w:t>
      </w:r>
    </w:p>
    <w:p w14:paraId="1CFDE35B" w14:textId="5626CE36" w:rsidR="03EAA313" w:rsidRDefault="03EAA313" w:rsidP="28EACE75">
      <w:pPr>
        <w:pStyle w:val="BodyText"/>
        <w:spacing w:line="360" w:lineRule="auto"/>
        <w:rPr>
          <w:rFonts w:asciiTheme="minorHAnsi" w:hAnsiTheme="minorHAnsi" w:cstheme="minorBidi"/>
          <w:sz w:val="24"/>
          <w:szCs w:val="24"/>
        </w:rPr>
      </w:pPr>
      <w:r w:rsidRPr="28EACE75">
        <w:rPr>
          <w:rFonts w:asciiTheme="minorHAnsi" w:hAnsiTheme="minorHAnsi" w:cstheme="minorBidi"/>
          <w:sz w:val="24"/>
          <w:szCs w:val="24"/>
        </w:rPr>
        <w:t xml:space="preserve">Desideriamo chiederLe se vuole dare il consenso affinché il suo familiare partecipi a uno studio clinico. Il suo familiare ha un’infezione grave. Poiché non può dare il consenso autonomamente, Le chiediamo se, a nome suo, vuole fornire un consenso sostitutivo affinché partecipi allo studio. Lo studio è stato iniziato durante il trattamento acuto, poiché la condizione critica del suo familiare non ci permetteva di chiedere direttamente il suo consenso. La partecipazione allo studio è volontaria e </w:t>
      </w:r>
      <w:r w:rsidR="4B6C503C" w:rsidRPr="28EACE75">
        <w:rPr>
          <w:rFonts w:asciiTheme="minorHAnsi" w:hAnsiTheme="minorHAnsi" w:cstheme="minorBidi"/>
          <w:sz w:val="24"/>
          <w:szCs w:val="24"/>
        </w:rPr>
        <w:t>l</w:t>
      </w:r>
      <w:r w:rsidRPr="28EACE75">
        <w:rPr>
          <w:rFonts w:asciiTheme="minorHAnsi" w:hAnsiTheme="minorHAnsi" w:cstheme="minorBidi"/>
          <w:sz w:val="24"/>
          <w:szCs w:val="24"/>
        </w:rPr>
        <w:t xml:space="preserve">ei può rifiutare, senza che ciò influisca sul trattamento attuale o futuro del suo familiare. È importante che Lei comprenda pienamente in cosa consiste la sperimentazione e le ragioni della sua conduzione. La invitiamo pertanto a leggere attentamente il presente documento informativo. Le sarà inoltre offerto un colloquio con un medico responsabile dello studio, durante il quale le informazioni verranno ulteriormente approfondite e Lei potrà porre eventuali domande. È possibile farsi accompagnare da un familiare, un amico o una persona di fiducia. Se decide che il suo familiare può continuare nello studio, Le chiederemo di firmare il modulo di consenso allegato. Ricordi che ha diritto ad almeno 24 ore di tempo per riflettere prima di prendere una decisione. Il suo familiare sarà consultato per il consenso non appena le sue condizioni lo permetteranno. La partecipazione allo studio è volontaria. Può ritirare in qualsiasi momento il suo </w:t>
      </w:r>
      <w:r w:rsidRPr="28EACE75">
        <w:rPr>
          <w:rFonts w:asciiTheme="minorHAnsi" w:hAnsiTheme="minorHAnsi" w:cstheme="minorBidi"/>
          <w:sz w:val="24"/>
          <w:szCs w:val="24"/>
        </w:rPr>
        <w:lastRenderedPageBreak/>
        <w:t>consenso sostitutivo senza fornire alcuna motivazione, senza che ciò influenzi il trattamento del suo familiare.</w:t>
      </w:r>
    </w:p>
    <w:p w14:paraId="19DFBAA1" w14:textId="2266327C" w:rsidR="28EACE75" w:rsidRDefault="28EACE75" w:rsidP="28EACE75">
      <w:pPr>
        <w:pStyle w:val="BodyText"/>
        <w:spacing w:line="360" w:lineRule="auto"/>
        <w:rPr>
          <w:rFonts w:asciiTheme="minorHAnsi" w:hAnsiTheme="minorHAnsi" w:cstheme="minorBidi"/>
          <w:sz w:val="24"/>
          <w:szCs w:val="24"/>
        </w:rPr>
      </w:pPr>
    </w:p>
    <w:p w14:paraId="12F3C5FD" w14:textId="02CCD22B" w:rsidR="00923EE8" w:rsidRPr="00EB1EDD" w:rsidRDefault="00F70334" w:rsidP="28EACE75">
      <w:pPr>
        <w:pStyle w:val="BodyText"/>
        <w:spacing w:line="360" w:lineRule="auto"/>
        <w:rPr>
          <w:rFonts w:asciiTheme="minorHAnsi" w:hAnsiTheme="minorHAnsi" w:cstheme="minorBidi"/>
          <w:b/>
          <w:bCs/>
          <w:sz w:val="24"/>
          <w:szCs w:val="24"/>
        </w:rPr>
      </w:pPr>
      <w:r w:rsidRPr="28EACE75">
        <w:rPr>
          <w:rFonts w:asciiTheme="minorHAnsi" w:hAnsiTheme="minorHAnsi" w:cstheme="minorBidi"/>
          <w:b/>
          <w:bCs/>
          <w:sz w:val="24"/>
          <w:szCs w:val="24"/>
        </w:rPr>
        <w:t>Background</w:t>
      </w:r>
    </w:p>
    <w:p w14:paraId="62F9CF13" w14:textId="38A4E1D8" w:rsidR="26510070" w:rsidRDefault="26510070" w:rsidP="28EACE75">
      <w:pPr>
        <w:pStyle w:val="BodyText"/>
        <w:spacing w:line="360" w:lineRule="auto"/>
        <w:rPr>
          <w:rFonts w:asciiTheme="minorHAnsi" w:hAnsiTheme="minorHAnsi" w:cstheme="minorBidi"/>
          <w:sz w:val="24"/>
          <w:szCs w:val="24"/>
        </w:rPr>
      </w:pPr>
      <w:r w:rsidRPr="28EACE75">
        <w:rPr>
          <w:rFonts w:asciiTheme="minorHAnsi" w:hAnsiTheme="minorHAnsi" w:cstheme="minorBidi"/>
          <w:sz w:val="24"/>
          <w:szCs w:val="24"/>
        </w:rPr>
        <w:t>La sepsi (setticemia) è una condizione potenzialmente letale che può insorgere in seguito a una grave infezione. Essa compromette la funzionalità degli organi e, nei casi più gravi, può evolvere in shock settico, caratterizzato da insufficienza circolatoria. Il trattamento con antibiotici ad ampio spettro rappresenta lo standard di cura per i pazienti ricoverati con sepsi, poiché aumenta la sopravvivenza. La scelta dell’antibiotico dipende da diversi fattori, quali il tipo di infezione, eventuali patologie concomitanti e la probabile sensibilità del batterio agli antibiotici. La maggior parte dei pazienti viene trattata con uno dei seguenti due antibiotici ad ampio spettro: piperacillina/tazobactam oppure meropenem. Tuttavia, non è ancora chiaro quale dei due sia più efficace e presenti meno effetti collaterali.</w:t>
      </w:r>
    </w:p>
    <w:p w14:paraId="3218DB92" w14:textId="77777777" w:rsidR="00F70334" w:rsidRPr="00EB1EDD" w:rsidRDefault="00F70334" w:rsidP="28EACE75">
      <w:pPr>
        <w:pStyle w:val="BodyText"/>
        <w:spacing w:line="360" w:lineRule="auto"/>
        <w:rPr>
          <w:rFonts w:asciiTheme="minorHAnsi" w:hAnsiTheme="minorHAnsi" w:cstheme="minorBidi"/>
          <w:sz w:val="24"/>
          <w:szCs w:val="24"/>
        </w:rPr>
      </w:pPr>
    </w:p>
    <w:p w14:paraId="680D770C" w14:textId="2F337370" w:rsidR="00F70334" w:rsidRPr="00EB1EDD" w:rsidRDefault="26510070" w:rsidP="28EACE75">
      <w:pPr>
        <w:spacing w:line="360" w:lineRule="auto"/>
        <w:rPr>
          <w:rFonts w:asciiTheme="minorHAnsi" w:hAnsiTheme="minorHAnsi" w:cstheme="minorBidi"/>
          <w:b/>
          <w:bCs/>
        </w:rPr>
      </w:pPr>
      <w:r w:rsidRPr="28EACE75">
        <w:rPr>
          <w:rFonts w:asciiTheme="minorHAnsi" w:hAnsiTheme="minorHAnsi" w:cstheme="minorBidi"/>
          <w:b/>
          <w:bCs/>
        </w:rPr>
        <w:t>Scopo dello studio</w:t>
      </w:r>
    </w:p>
    <w:p w14:paraId="4DD723C5" w14:textId="0B40EFD8" w:rsidR="26510070" w:rsidRDefault="26510070" w:rsidP="28EACE75">
      <w:pPr>
        <w:spacing w:line="360" w:lineRule="auto"/>
        <w:rPr>
          <w:rFonts w:asciiTheme="minorHAnsi" w:hAnsiTheme="minorHAnsi" w:cstheme="minorBidi"/>
        </w:rPr>
      </w:pPr>
      <w:r w:rsidRPr="28EACE75">
        <w:rPr>
          <w:rFonts w:asciiTheme="minorHAnsi" w:hAnsiTheme="minorHAnsi" w:cstheme="minorBidi"/>
        </w:rPr>
        <w:t>Lo scopo dello studio è valutare se il meropenem, rispetto alla piperacillina/tazobactam, determini un aumento della sopravvivenza nei pazienti con sepsi e condizioni critiche.</w:t>
      </w:r>
    </w:p>
    <w:p w14:paraId="0A2A3FAD" w14:textId="77777777" w:rsidR="00F70334" w:rsidRPr="00EB1EDD" w:rsidRDefault="00F70334" w:rsidP="28EACE75">
      <w:pPr>
        <w:spacing w:line="360" w:lineRule="auto"/>
        <w:rPr>
          <w:rFonts w:asciiTheme="minorHAnsi" w:hAnsiTheme="minorHAnsi" w:cstheme="minorBidi"/>
          <w:b/>
          <w:bCs/>
        </w:rPr>
      </w:pPr>
    </w:p>
    <w:p w14:paraId="3E115FCE" w14:textId="3287D131" w:rsidR="26510070" w:rsidRDefault="26510070" w:rsidP="28EACE75">
      <w:pPr>
        <w:spacing w:line="360" w:lineRule="auto"/>
      </w:pPr>
      <w:r w:rsidRPr="28EACE75">
        <w:rPr>
          <w:rFonts w:asciiTheme="minorHAnsi" w:hAnsiTheme="minorHAnsi" w:cstheme="minorBidi"/>
          <w:b/>
          <w:bCs/>
        </w:rPr>
        <w:t>Modalità di svolgimento</w:t>
      </w:r>
    </w:p>
    <w:p w14:paraId="791A2984" w14:textId="06C4C802" w:rsidR="26510070" w:rsidRDefault="26510070" w:rsidP="28EACE75">
      <w:pPr>
        <w:spacing w:line="360" w:lineRule="auto"/>
        <w:rPr>
          <w:rFonts w:asciiTheme="minorHAnsi" w:hAnsiTheme="minorHAnsi" w:cstheme="minorBidi"/>
        </w:rPr>
      </w:pPr>
      <w:r w:rsidRPr="28EACE75">
        <w:rPr>
          <w:rFonts w:asciiTheme="minorHAnsi" w:hAnsiTheme="minorHAnsi" w:cstheme="minorBidi"/>
        </w:rPr>
        <w:t xml:space="preserve">Lo studio viene condotto negli ospedali della Scandinavia e di altri paesi nel mondo. Nell’ambito dello studio il suo familiare ha ricevuto, secondo le linee guida nazionali e internazionali per il trattamento della sepsi, uno dei due antibiotici: meropenem oppure piperacillina/tazobactam. L’assegnazione è avvenuta in modo casuale. Il trattamento con uno dei due antibiotici è somministrato per un massimo di 30 giorni. Durante il ricovero, vengono raccolti dalla cartella clinica del suo familiare dati riguardanti le condizioni di salute precedenti alla malattia e l’andamento clinico durante il ricovero. Tali dati sono utilizzati per valutare efficacia e sicurezza dei due trattamenti. Alla fine dello studio verranno registrati il numero dei partecipanti sopravvissuti, il numero di partecipanti che hanno avuto effetti collaterali o sono stati isolati a causa di batteri resistenti, la durata della terapia di supporto vitale, la durata del ricovero. </w:t>
      </w:r>
    </w:p>
    <w:p w14:paraId="6BD96DCE" w14:textId="776F18EF" w:rsidR="28EACE75" w:rsidRDefault="28EACE75" w:rsidP="28EACE75">
      <w:pPr>
        <w:spacing w:line="360" w:lineRule="auto"/>
        <w:rPr>
          <w:rFonts w:asciiTheme="minorHAnsi" w:hAnsiTheme="minorHAnsi" w:cstheme="minorBidi"/>
        </w:rPr>
      </w:pPr>
    </w:p>
    <w:p w14:paraId="1DCE88BA" w14:textId="654C44EB" w:rsidR="26510070" w:rsidRDefault="26510070" w:rsidP="28EACE75">
      <w:pPr>
        <w:spacing w:line="360" w:lineRule="auto"/>
        <w:rPr>
          <w:rFonts w:asciiTheme="minorHAnsi" w:hAnsiTheme="minorHAnsi" w:cstheme="minorBidi"/>
        </w:rPr>
      </w:pPr>
      <w:r w:rsidRPr="28EACE75">
        <w:rPr>
          <w:rFonts w:asciiTheme="minorHAnsi" w:hAnsiTheme="minorHAnsi" w:cstheme="minorBidi"/>
        </w:rPr>
        <w:lastRenderedPageBreak/>
        <w:t xml:space="preserve">Dopo 90 e 180 giorni dalla partecipazione del suo familiare allo studio, contatteremo telefonicamente o per iscritto il suo familiare o uno dei suoi familiari per raccogliere informazioni sulla qualità della vita correlata alla salute e altri dati a lungo termine (sopravvivenza e riammissioni). </w:t>
      </w:r>
    </w:p>
    <w:p w14:paraId="66E08137" w14:textId="28B5D8E9" w:rsidR="28EACE75" w:rsidRDefault="28EACE75" w:rsidP="28EACE75">
      <w:pPr>
        <w:spacing w:line="360" w:lineRule="auto"/>
        <w:rPr>
          <w:rFonts w:asciiTheme="minorHAnsi" w:hAnsiTheme="minorHAnsi" w:cstheme="minorBidi"/>
        </w:rPr>
      </w:pPr>
    </w:p>
    <w:p w14:paraId="6B902F70" w14:textId="3DFCCE14" w:rsidR="26510070" w:rsidRDefault="26510070" w:rsidP="28EACE75">
      <w:pPr>
        <w:spacing w:line="360" w:lineRule="auto"/>
        <w:rPr>
          <w:rFonts w:asciiTheme="minorHAnsi" w:hAnsiTheme="minorHAnsi" w:cstheme="minorBidi"/>
        </w:rPr>
      </w:pPr>
      <w:r w:rsidRPr="28EACE75">
        <w:rPr>
          <w:rFonts w:asciiTheme="minorHAnsi" w:hAnsiTheme="minorHAnsi" w:cstheme="minorBidi"/>
        </w:rPr>
        <w:t>Lo studio non è in cieco, il che significa che il suo familiare può sapere quale antibiotico ha ricevuto e potrà chiedere informazioni al riguardo durante la conversazione programmata con il medico responsabile dello studio o con un altro membro del gruppo di ricerca.</w:t>
      </w:r>
    </w:p>
    <w:p w14:paraId="69D66BA4" w14:textId="77777777" w:rsidR="00F70334" w:rsidRPr="00EB1EDD" w:rsidRDefault="00F70334" w:rsidP="28EACE75">
      <w:pPr>
        <w:spacing w:line="360" w:lineRule="auto"/>
        <w:rPr>
          <w:rFonts w:asciiTheme="minorHAnsi" w:hAnsiTheme="minorHAnsi" w:cstheme="minorBidi"/>
        </w:rPr>
      </w:pPr>
    </w:p>
    <w:p w14:paraId="52EE4BAC" w14:textId="49630BF6" w:rsidR="00F70334" w:rsidRPr="00EB1EDD" w:rsidRDefault="00F70334" w:rsidP="28EACE75">
      <w:pPr>
        <w:spacing w:line="360" w:lineRule="auto"/>
        <w:rPr>
          <w:rFonts w:asciiTheme="minorHAnsi" w:hAnsiTheme="minorHAnsi" w:cstheme="minorBidi"/>
          <w:b/>
          <w:bCs/>
          <w:color w:val="000000"/>
        </w:rPr>
      </w:pPr>
      <w:r w:rsidRPr="28EACE75">
        <w:rPr>
          <w:rFonts w:asciiTheme="minorHAnsi" w:hAnsiTheme="minorHAnsi" w:cstheme="minorBidi"/>
          <w:b/>
          <w:bCs/>
          <w:color w:val="000000" w:themeColor="text1"/>
        </w:rPr>
        <w:t>Benefi</w:t>
      </w:r>
      <w:r w:rsidR="6E5417DB" w:rsidRPr="28EACE75">
        <w:rPr>
          <w:rFonts w:asciiTheme="minorHAnsi" w:hAnsiTheme="minorHAnsi" w:cstheme="minorBidi"/>
          <w:b/>
          <w:bCs/>
          <w:color w:val="000000" w:themeColor="text1"/>
        </w:rPr>
        <w:t>ci attesi</w:t>
      </w:r>
    </w:p>
    <w:p w14:paraId="578BDE09" w14:textId="20A7D6A2" w:rsidR="6E5417DB" w:rsidRDefault="6E5417DB" w:rsidP="28EACE75">
      <w:p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Non possiamo garantire un beneficio diretto al suo familiare dalla partecipazione. Entrambi gli antibiotici aumentano la sopravvivenza nei pazienti con sepsi, ma non è noto quale sia il migliore o presenti meno effetti collaterali. La partecipazione del suo familiare contribuirà ad ampliare le conoscenze sul trattamento ottimale della sepsi. I rischi associati allo studio sono minimi, poiché i pazienti a maggior rischio di effetti collaterali non sono inclusi ed entrambi i farmaci sono già utilizzati routinariamente nella pratica clinica. Riteniamo che i risultati possano migliorare il trattamento dei futuri pazienti con sepsi.</w:t>
      </w:r>
    </w:p>
    <w:p w14:paraId="326AAF8F" w14:textId="77777777" w:rsidR="00F70334" w:rsidRPr="00EB1EDD" w:rsidRDefault="00F70334" w:rsidP="28EACE75">
      <w:pPr>
        <w:spacing w:line="360" w:lineRule="auto"/>
        <w:rPr>
          <w:rFonts w:asciiTheme="minorHAnsi" w:hAnsiTheme="minorHAnsi" w:cstheme="minorBidi"/>
          <w:b/>
          <w:bCs/>
          <w:color w:val="000000"/>
        </w:rPr>
      </w:pPr>
    </w:p>
    <w:p w14:paraId="3542C4F8" w14:textId="6E46F46E" w:rsidR="6E5417DB" w:rsidRDefault="6E5417DB" w:rsidP="28EACE75">
      <w:pPr>
        <w:spacing w:line="360" w:lineRule="auto"/>
      </w:pPr>
      <w:r w:rsidRPr="28EACE75">
        <w:rPr>
          <w:rFonts w:asciiTheme="minorHAnsi" w:hAnsiTheme="minorHAnsi" w:cstheme="minorBidi"/>
          <w:b/>
          <w:bCs/>
          <w:color w:val="000000" w:themeColor="text1"/>
        </w:rPr>
        <w:t>Valutazione dell’idoneità alla partecipazione allo studio</w:t>
      </w:r>
    </w:p>
    <w:p w14:paraId="76926F63" w14:textId="4494A13C" w:rsidR="00F70334" w:rsidRPr="00EB1EDD" w:rsidRDefault="031A297A" w:rsidP="28EACE75">
      <w:pPr>
        <w:spacing w:line="360" w:lineRule="auto"/>
        <w:rPr>
          <w:rFonts w:asciiTheme="minorHAnsi" w:hAnsiTheme="minorHAnsi" w:cstheme="minorBidi"/>
          <w:color w:val="000000"/>
          <w:lang w:val="en-US"/>
        </w:rPr>
      </w:pPr>
      <w:r w:rsidRPr="28EACE75">
        <w:rPr>
          <w:rFonts w:asciiTheme="minorHAnsi" w:hAnsiTheme="minorHAnsi" w:cstheme="minorBidi"/>
          <w:color w:val="000000" w:themeColor="text1"/>
        </w:rPr>
        <w:t>Trattandosi di uno studio clinico in ambito di emergenza, il suo familiare è stato/a incluso/a sulla base di una valutazione iniziale dei criteri di inclusione ed esclusione.</w:t>
      </w:r>
      <w:r w:rsidR="00F70334" w:rsidRPr="28EACE75">
        <w:rPr>
          <w:rFonts w:asciiTheme="minorHAnsi" w:hAnsiTheme="minorHAnsi" w:cstheme="minorBidi"/>
          <w:color w:val="000000" w:themeColor="text1"/>
        </w:rPr>
        <w:t xml:space="preserve"> </w:t>
      </w:r>
      <w:r w:rsidR="3E411471" w:rsidRPr="28EACE75">
        <w:rPr>
          <w:rFonts w:asciiTheme="minorHAnsi" w:hAnsiTheme="minorHAnsi" w:cstheme="minorBidi"/>
          <w:color w:val="000000" w:themeColor="text1"/>
        </w:rPr>
        <w:t>Questi criteri sono stati attentamente valutati e applicati dai clinici responsabili del trattamento del suo familiare, al fine di garantire che la sua partecipazione sia conforme alle linee guida stabilite per lo studio clinico. Di seguito è riportato un riepilogo dei criteri utilizzati per valutare l’idoneità del suo familiare alla partecipazione:</w:t>
      </w:r>
    </w:p>
    <w:p w14:paraId="3E1046DA" w14:textId="77777777" w:rsidR="00F70334" w:rsidRPr="00EB1EDD" w:rsidRDefault="00F70334" w:rsidP="28EACE75">
      <w:pPr>
        <w:spacing w:line="360" w:lineRule="auto"/>
        <w:rPr>
          <w:rFonts w:asciiTheme="minorHAnsi" w:hAnsiTheme="minorHAnsi" w:cstheme="minorBidi"/>
          <w:color w:val="000000"/>
        </w:rPr>
      </w:pPr>
    </w:p>
    <w:p w14:paraId="1D52F79D" w14:textId="16DD88F4" w:rsidR="00F70334" w:rsidRPr="00EB1EDD" w:rsidRDefault="0AB7F4E8" w:rsidP="28EACE75">
      <w:pPr>
        <w:spacing w:line="360" w:lineRule="auto"/>
        <w:rPr>
          <w:rFonts w:asciiTheme="minorHAnsi" w:hAnsiTheme="minorHAnsi" w:cstheme="minorBidi"/>
          <w:color w:val="000000"/>
        </w:rPr>
      </w:pPr>
      <w:r w:rsidRPr="28EACE75">
        <w:rPr>
          <w:rFonts w:asciiTheme="minorHAnsi" w:hAnsiTheme="minorHAnsi" w:cstheme="minorBidi"/>
          <w:color w:val="000000" w:themeColor="text1"/>
        </w:rPr>
        <w:t>È stato valutato che soddisfacesse i seguenti criteri:</w:t>
      </w:r>
    </w:p>
    <w:p w14:paraId="3123DBF1" w14:textId="3D01C520" w:rsidR="0AB7F4E8" w:rsidRDefault="0AB7F4E8" w:rsidP="28EACE75">
      <w:pPr>
        <w:pStyle w:val="ListParagraph"/>
        <w:numPr>
          <w:ilvl w:val="0"/>
          <w:numId w:val="11"/>
        </w:num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Età pari o superiore a 18 anni;</w:t>
      </w:r>
    </w:p>
    <w:p w14:paraId="38AD8C4E" w14:textId="05445B06" w:rsidR="0AB7F4E8" w:rsidRDefault="0AB7F4E8" w:rsidP="28EACE75">
      <w:pPr>
        <w:pStyle w:val="ListParagraph"/>
        <w:numPr>
          <w:ilvl w:val="0"/>
          <w:numId w:val="11"/>
        </w:num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Presenza di sepsi e condizione critica con necessità di elevato supporto di ossigeno, ventilazione meccanica o supporto circolatorio.</w:t>
      </w:r>
    </w:p>
    <w:p w14:paraId="5E81284B" w14:textId="77777777" w:rsidR="00F70334" w:rsidRPr="00EB1EDD" w:rsidRDefault="00F70334" w:rsidP="28EACE75">
      <w:pPr>
        <w:spacing w:line="360" w:lineRule="auto"/>
        <w:rPr>
          <w:rFonts w:asciiTheme="minorHAnsi" w:hAnsiTheme="minorHAnsi" w:cstheme="minorBidi"/>
          <w:b/>
          <w:bCs/>
          <w:color w:val="000000"/>
        </w:rPr>
      </w:pPr>
    </w:p>
    <w:p w14:paraId="1BF3ACF3" w14:textId="64B77974" w:rsidR="00F70334" w:rsidRPr="00EB1EDD" w:rsidRDefault="0AB7F4E8" w:rsidP="28EACE75">
      <w:pPr>
        <w:spacing w:line="360" w:lineRule="auto"/>
        <w:rPr>
          <w:rFonts w:asciiTheme="minorHAnsi" w:hAnsiTheme="minorHAnsi" w:cstheme="minorBidi"/>
          <w:color w:val="000000"/>
        </w:rPr>
      </w:pPr>
      <w:r w:rsidRPr="28EACE75">
        <w:rPr>
          <w:rFonts w:asciiTheme="minorHAnsi" w:hAnsiTheme="minorHAnsi" w:cstheme="minorBidi"/>
          <w:color w:val="000000" w:themeColor="text1"/>
        </w:rPr>
        <w:t>È stato valutato che non soddisfacesse i seguenti criteri</w:t>
      </w:r>
      <w:r w:rsidR="00F70334" w:rsidRPr="28EACE75">
        <w:rPr>
          <w:rFonts w:asciiTheme="minorHAnsi" w:hAnsiTheme="minorHAnsi" w:cstheme="minorBidi"/>
          <w:color w:val="000000" w:themeColor="text1"/>
        </w:rPr>
        <w:t>:</w:t>
      </w:r>
    </w:p>
    <w:p w14:paraId="688561C9" w14:textId="17BC32F1" w:rsidR="0437D305" w:rsidRDefault="0437D305" w:rsidP="28EACE75">
      <w:pPr>
        <w:pStyle w:val="ListParagraph"/>
        <w:numPr>
          <w:ilvl w:val="0"/>
          <w:numId w:val="10"/>
        </w:num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NON aveva ricevuto meropenem o piperacillina/tazobactam per più di 24 ore prima dell’inclusione;</w:t>
      </w:r>
    </w:p>
    <w:p w14:paraId="5B48B6CE" w14:textId="66DFAF24" w:rsidR="0437D305" w:rsidRDefault="0437D305" w:rsidP="28EACE75">
      <w:pPr>
        <w:pStyle w:val="ListParagraph"/>
        <w:numPr>
          <w:ilvl w:val="0"/>
          <w:numId w:val="10"/>
        </w:num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NON presentava allergia o ipersensibilità a penicilline o antibiotici simili;</w:t>
      </w:r>
    </w:p>
    <w:p w14:paraId="65497C34" w14:textId="5945A8F8" w:rsidR="3204C2D7" w:rsidRDefault="3204C2D7" w:rsidP="28EACE75">
      <w:pPr>
        <w:pStyle w:val="ListParagraph"/>
        <w:numPr>
          <w:ilvl w:val="0"/>
          <w:numId w:val="10"/>
        </w:num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NON aveva infezioni sospette o confermate del cervello o delle meningi;</w:t>
      </w:r>
    </w:p>
    <w:p w14:paraId="3F3C6CBD" w14:textId="41CEB676" w:rsidR="00F70334" w:rsidRPr="00EB1EDD" w:rsidRDefault="3204C2D7" w:rsidP="28EACE75">
      <w:pPr>
        <w:pStyle w:val="ListParagraph"/>
        <w:numPr>
          <w:ilvl w:val="0"/>
          <w:numId w:val="10"/>
        </w:numPr>
        <w:spacing w:line="360" w:lineRule="auto"/>
        <w:rPr>
          <w:rFonts w:asciiTheme="minorHAnsi" w:hAnsiTheme="minorHAnsi" w:cstheme="minorBidi"/>
          <w:color w:val="000000"/>
        </w:rPr>
      </w:pPr>
      <w:r w:rsidRPr="28EACE75">
        <w:rPr>
          <w:rFonts w:asciiTheme="minorHAnsi" w:hAnsiTheme="minorHAnsi" w:cstheme="minorBidi"/>
          <w:color w:val="000000" w:themeColor="text1"/>
        </w:rPr>
        <w:t>NON aveva infezioni attuali o recenti (ultimi tre mesi) da batteri resistenti ai farmaci in studio;</w:t>
      </w:r>
    </w:p>
    <w:p w14:paraId="0C2471B8" w14:textId="0E2742F6" w:rsidR="00F70334" w:rsidRPr="00EB1EDD" w:rsidRDefault="3204C2D7" w:rsidP="28EACE75">
      <w:pPr>
        <w:pStyle w:val="ListParagraph"/>
        <w:numPr>
          <w:ilvl w:val="0"/>
          <w:numId w:val="10"/>
        </w:numPr>
        <w:spacing w:line="360" w:lineRule="auto"/>
        <w:rPr>
          <w:rFonts w:asciiTheme="minorHAnsi" w:hAnsiTheme="minorHAnsi" w:cstheme="minorBidi"/>
          <w:color w:val="000000"/>
        </w:rPr>
      </w:pPr>
      <w:r w:rsidRPr="28EACE75">
        <w:rPr>
          <w:rFonts w:asciiTheme="minorHAnsi" w:hAnsiTheme="minorHAnsi" w:cstheme="minorBidi"/>
          <w:color w:val="000000" w:themeColor="text1"/>
        </w:rPr>
        <w:t>NON era in trattamento con valproato</w:t>
      </w:r>
      <w:r w:rsidR="00F70334" w:rsidRPr="28EACE75">
        <w:rPr>
          <w:rFonts w:asciiTheme="minorHAnsi" w:hAnsiTheme="minorHAnsi" w:cstheme="minorBidi"/>
          <w:color w:val="000000" w:themeColor="text1"/>
        </w:rPr>
        <w:t xml:space="preserve"> (</w:t>
      </w:r>
      <w:r w:rsidR="7576FD54" w:rsidRPr="28EACE75">
        <w:rPr>
          <w:rFonts w:asciiTheme="minorHAnsi" w:hAnsiTheme="minorHAnsi" w:cstheme="minorBidi"/>
          <w:color w:val="000000" w:themeColor="text1"/>
        </w:rPr>
        <w:t>farmaco tipicamente utilizzato nell’epilessia</w:t>
      </w:r>
      <w:r w:rsidR="00F70334" w:rsidRPr="28EACE75">
        <w:rPr>
          <w:rFonts w:asciiTheme="minorHAnsi" w:hAnsiTheme="minorHAnsi" w:cstheme="minorBidi"/>
          <w:color w:val="000000" w:themeColor="text1"/>
        </w:rPr>
        <w:t>).</w:t>
      </w:r>
    </w:p>
    <w:p w14:paraId="474C96B3" w14:textId="0AE4F4C6" w:rsidR="74E48D60" w:rsidRPr="00EB1EDD" w:rsidRDefault="1CD63035" w:rsidP="28EACE75">
      <w:pPr>
        <w:pStyle w:val="ListParagraph"/>
        <w:numPr>
          <w:ilvl w:val="0"/>
          <w:numId w:val="10"/>
        </w:numPr>
        <w:spacing w:line="360" w:lineRule="auto"/>
        <w:rPr>
          <w:rFonts w:asciiTheme="minorHAnsi" w:hAnsiTheme="minorHAnsi" w:cstheme="minorBidi"/>
          <w:color w:val="000000"/>
        </w:rPr>
      </w:pPr>
      <w:r w:rsidRPr="28EACE75">
        <w:rPr>
          <w:rFonts w:asciiTheme="minorHAnsi" w:hAnsiTheme="minorHAnsi" w:cstheme="minorBidi"/>
          <w:color w:val="000000" w:themeColor="text1"/>
        </w:rPr>
        <w:t>NON era incinta.</w:t>
      </w:r>
    </w:p>
    <w:p w14:paraId="3BB1CF0A" w14:textId="77777777" w:rsidR="00F70334" w:rsidRPr="00EB1EDD" w:rsidRDefault="00F70334" w:rsidP="28EACE75">
      <w:pPr>
        <w:spacing w:line="360" w:lineRule="auto"/>
        <w:rPr>
          <w:rFonts w:asciiTheme="minorHAnsi" w:hAnsiTheme="minorHAnsi" w:cstheme="minorBidi"/>
          <w:color w:val="000000" w:themeColor="text1"/>
        </w:rPr>
      </w:pPr>
    </w:p>
    <w:p w14:paraId="4FA67FA5" w14:textId="66A6EDD8" w:rsidR="1CD63035" w:rsidRDefault="1CD63035" w:rsidP="28EACE75">
      <w:pPr>
        <w:spacing w:line="360" w:lineRule="auto"/>
      </w:pPr>
      <w:r w:rsidRPr="28EACE75">
        <w:rPr>
          <w:rFonts w:asciiTheme="minorHAnsi" w:hAnsiTheme="minorHAnsi" w:cstheme="minorBidi"/>
          <w:b/>
          <w:bCs/>
          <w:color w:val="000000" w:themeColor="text1"/>
        </w:rPr>
        <w:t>Interruzione della partecipazione</w:t>
      </w:r>
    </w:p>
    <w:p w14:paraId="7DAD49DE" w14:textId="09C8B846" w:rsidR="1CD63035" w:rsidRDefault="1CD63035" w:rsidP="28EACE75">
      <w:p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 xml:space="preserve">Può ritirare il suo familiare dallo studio in qualsiasi momento senza fornire motivazioni. Questo non influenzerà il rapporto con i medici o il trattamento del suo familiare. Il </w:t>
      </w:r>
      <w:r w:rsidR="2636CFDB" w:rsidRPr="28EACE75">
        <w:rPr>
          <w:rFonts w:asciiTheme="minorHAnsi" w:hAnsiTheme="minorHAnsi" w:cstheme="minorBidi"/>
          <w:color w:val="000000" w:themeColor="text1"/>
        </w:rPr>
        <w:t>s</w:t>
      </w:r>
      <w:r w:rsidRPr="28EACE75">
        <w:rPr>
          <w:rFonts w:asciiTheme="minorHAnsi" w:hAnsiTheme="minorHAnsi" w:cstheme="minorBidi"/>
          <w:color w:val="000000" w:themeColor="text1"/>
        </w:rPr>
        <w:t xml:space="preserve">uo familiare continuerà a ricevere lo stesso trattamento degli altri pazienti. Anche i suoi medici curanti possono decidere di interrompere la partecipazione; in tal caso ne sarà informato/a. </w:t>
      </w:r>
    </w:p>
    <w:p w14:paraId="2D58636A" w14:textId="2FD1E83A" w:rsidR="28EACE75" w:rsidRDefault="28EACE75" w:rsidP="28EACE75">
      <w:pPr>
        <w:spacing w:line="360" w:lineRule="auto"/>
        <w:rPr>
          <w:rFonts w:asciiTheme="minorHAnsi" w:hAnsiTheme="minorHAnsi" w:cstheme="minorBidi"/>
          <w:color w:val="000000" w:themeColor="text1"/>
        </w:rPr>
      </w:pPr>
    </w:p>
    <w:p w14:paraId="3038F691" w14:textId="2C506C8F" w:rsidR="1CD63035" w:rsidRDefault="1CD63035" w:rsidP="28EACE75">
      <w:p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Se ritira il suo consenso, il medico responsabile dello studio Le chiederà se permette la continuazione della raccolta dati e del follow-up fino al giorno 180 nonostante l’interruzione del trattamento sperimentale. La revoca del consenso non influirà sulle attività già svolte né sull’utilizzo dei dati ottenuti sulla base del consenso informato prima della sua revoca. Qualora Lei non presti il consenso alla partecipazione allo studio, ha altresì il diritto di opporsi all’utilizzo dei dati raccolti nell’ambito della partecipazione del suo familiare alla sperimentazione clinica.</w:t>
      </w:r>
    </w:p>
    <w:p w14:paraId="2AB53B67" w14:textId="77777777" w:rsidR="00A4204C" w:rsidRDefault="00A4204C" w:rsidP="28EACE75">
      <w:pPr>
        <w:spacing w:line="360" w:lineRule="auto"/>
        <w:rPr>
          <w:rFonts w:asciiTheme="minorHAnsi" w:hAnsiTheme="minorHAnsi" w:cstheme="minorBidi"/>
          <w:b/>
          <w:bCs/>
          <w:color w:val="000000"/>
        </w:rPr>
      </w:pPr>
    </w:p>
    <w:p w14:paraId="0E92E14B" w14:textId="55E1EC78" w:rsidR="1CD63035" w:rsidRDefault="1CD63035" w:rsidP="28EACE75">
      <w:pPr>
        <w:spacing w:line="360" w:lineRule="auto"/>
      </w:pPr>
      <w:r w:rsidRPr="28EACE75">
        <w:rPr>
          <w:rFonts w:asciiTheme="minorHAnsi" w:hAnsiTheme="minorHAnsi" w:cstheme="minorBidi"/>
          <w:b/>
          <w:bCs/>
          <w:color w:val="000000" w:themeColor="text1"/>
        </w:rPr>
        <w:t>Possibili svantaggi</w:t>
      </w:r>
    </w:p>
    <w:p w14:paraId="284AF136" w14:textId="51CEBD43" w:rsidR="1CD63035" w:rsidRDefault="1CD63035" w:rsidP="28EACE75">
      <w:p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I medicinali utilizzati nello studio sono prodotti ampiamente impiegati nella pratica clinica. La loro sicurezza e i relativi effetti indesiderati sono pertanto ben noti. Sebbene tali farmaci siano generalmente considerati sicuri, possono comunque verificarsi reazioni o complicanze inattese in relazione al loro impiego, anche nell’ambito di sperimentazioni cliniche.</w:t>
      </w:r>
    </w:p>
    <w:p w14:paraId="59871397" w14:textId="77777777" w:rsidR="00F70334" w:rsidRPr="00EB1EDD" w:rsidRDefault="00F70334" w:rsidP="28EACE75">
      <w:pPr>
        <w:spacing w:line="360" w:lineRule="auto"/>
        <w:rPr>
          <w:rFonts w:asciiTheme="minorHAnsi" w:hAnsiTheme="minorHAnsi" w:cstheme="minorBidi"/>
          <w:color w:val="000000"/>
        </w:rPr>
      </w:pPr>
    </w:p>
    <w:p w14:paraId="153C3854" w14:textId="3626A0E5" w:rsidR="00F70334" w:rsidRPr="00EB1EDD" w:rsidRDefault="1CD63035" w:rsidP="28EACE75">
      <w:pPr>
        <w:spacing w:line="360" w:lineRule="auto"/>
        <w:rPr>
          <w:rFonts w:asciiTheme="minorHAnsi" w:hAnsiTheme="minorHAnsi" w:cstheme="minorBidi"/>
          <w:b/>
          <w:bCs/>
          <w:color w:val="000000"/>
        </w:rPr>
      </w:pPr>
      <w:r w:rsidRPr="28EACE75">
        <w:rPr>
          <w:rFonts w:asciiTheme="minorHAnsi" w:hAnsiTheme="minorHAnsi" w:cstheme="minorBidi"/>
          <w:b/>
          <w:bCs/>
          <w:color w:val="000000" w:themeColor="text1"/>
        </w:rPr>
        <w:lastRenderedPageBreak/>
        <w:t>Effetti collaterali, rischi e complicazioni</w:t>
      </w:r>
    </w:p>
    <w:p w14:paraId="6663ED92" w14:textId="1A5AA666" w:rsidR="1CD63035" w:rsidRDefault="1CD63035" w:rsidP="28EACE75">
      <w:pPr>
        <w:spacing w:line="360" w:lineRule="auto"/>
        <w:rPr>
          <w:rFonts w:asciiTheme="minorHAnsi" w:hAnsiTheme="minorHAnsi" w:cstheme="minorBidi"/>
          <w:color w:val="000000" w:themeColor="text1"/>
        </w:rPr>
      </w:pPr>
      <w:r w:rsidRPr="28EACE75">
        <w:rPr>
          <w:rFonts w:asciiTheme="minorHAnsi" w:hAnsiTheme="minorHAnsi" w:cstheme="minorBidi"/>
          <w:color w:val="000000" w:themeColor="text1"/>
        </w:rPr>
        <w:t>Meropenem e piperacillina/tazobactam sono farmaci ampiamente utilizzati e ben conosciuti. Gli effetti collaterali più comuni includono diarrea, dolori addominali, nausea, vomito, prurito e rash cutaneo. Effetti gravi sono rari e includono gravi reazioni allergiche, infezioni micotiche, colite e necrolisi epidermica tossica (una grave malattia cutanea con formazione di vesciche e desquamazione della pelle). Possono esserci rischi dello studio ancora non noti; eventuali effetti collaterali imprevisti saranno comunicati immediatamente.</w:t>
      </w:r>
    </w:p>
    <w:p w14:paraId="1EA475C4" w14:textId="77777777" w:rsidR="00F70334" w:rsidRPr="00EB1EDD" w:rsidRDefault="00F70334" w:rsidP="28EACE75">
      <w:pPr>
        <w:spacing w:line="360" w:lineRule="auto"/>
        <w:rPr>
          <w:rFonts w:asciiTheme="minorHAnsi" w:hAnsiTheme="minorHAnsi" w:cstheme="minorBidi"/>
          <w:b/>
          <w:bCs/>
          <w:color w:val="000000"/>
        </w:rPr>
      </w:pPr>
    </w:p>
    <w:p w14:paraId="687A2D75" w14:textId="4A6C92C9" w:rsidR="1CD63035" w:rsidRDefault="1CD63035" w:rsidP="28EACE75">
      <w:pPr>
        <w:spacing w:line="360" w:lineRule="auto"/>
      </w:pPr>
      <w:r w:rsidRPr="28EACE75">
        <w:rPr>
          <w:rFonts w:asciiTheme="minorHAnsi" w:hAnsiTheme="minorHAnsi" w:cstheme="minorBidi"/>
          <w:b/>
          <w:bCs/>
          <w:color w:val="000000" w:themeColor="text1"/>
        </w:rPr>
        <w:t>Riservatezza</w:t>
      </w:r>
    </w:p>
    <w:p w14:paraId="2D52FA93" w14:textId="1C3C4F4F" w:rsidR="00582BF2" w:rsidRPr="00EB1EDD" w:rsidRDefault="1CD63035" w:rsidP="28EACE75">
      <w:pPr>
        <w:spacing w:after="240" w:line="360" w:lineRule="auto"/>
        <w:rPr>
          <w:rFonts w:asciiTheme="minorHAnsi" w:hAnsiTheme="minorHAnsi" w:cstheme="minorBidi"/>
          <w:color w:val="000000"/>
        </w:rPr>
      </w:pPr>
      <w:r w:rsidRPr="28EACE75">
        <w:rPr>
          <w:rFonts w:asciiTheme="minorHAnsi" w:hAnsiTheme="minorHAnsi" w:cstheme="minorBidi"/>
          <w:color w:val="000000" w:themeColor="text1"/>
        </w:rPr>
        <w:t>Tutte le informazioni saranno trattate in modo confidenziale. Nei rapporti e nelle pubblicazioni il suo familiare rimarrà anonimo/a. L’agenzia danese per i medicinali (Lægemiddelstyrelsen), l’unità di buona pratica clinica (GCP) e il medico responsabile dello studio possono accedere alla cartella clinica del suo familiare per verificare il corretto svolgimento dello studio. Tutti sono vincolati al segreto professionale. Il trattamento dei dati personali avverrà nel rispetto del GDPR e della normativa danese sulla protezione dei dati. I dati potranno essere condivisi con altri ricercatori in forma anonimizzata previa approvazione del comitato direttivo dello studio, oppure in forma non anonimizzata previa ottenimento delle necessarie autorizzazioni.</w:t>
      </w:r>
    </w:p>
    <w:p w14:paraId="2C5F44C2" w14:textId="77777777" w:rsidR="00F70334" w:rsidRPr="00EB1EDD" w:rsidRDefault="00F70334" w:rsidP="28EACE75">
      <w:pPr>
        <w:spacing w:line="360" w:lineRule="auto"/>
        <w:rPr>
          <w:rFonts w:asciiTheme="minorHAnsi" w:hAnsiTheme="minorHAnsi" w:cstheme="minorBidi"/>
          <w:color w:val="000000"/>
          <w:bdr w:val="none" w:sz="0" w:space="0" w:color="auto" w:frame="1"/>
        </w:rPr>
      </w:pPr>
    </w:p>
    <w:p w14:paraId="4499A08D" w14:textId="4114F91C" w:rsidR="00F70334" w:rsidRDefault="00F70334" w:rsidP="28EACE75">
      <w:pPr>
        <w:spacing w:after="200"/>
        <w:rPr>
          <w:rFonts w:asciiTheme="minorHAnsi" w:hAnsiTheme="minorHAnsi" w:cstheme="minorBidi"/>
          <w:b/>
          <w:bCs/>
        </w:rPr>
      </w:pPr>
      <w:bookmarkStart w:id="1" w:name="_Hlk159942047"/>
      <w:r w:rsidRPr="28EACE75">
        <w:rPr>
          <w:rFonts w:asciiTheme="minorHAnsi" w:hAnsiTheme="minorHAnsi" w:cstheme="minorBidi"/>
          <w:b/>
          <w:bCs/>
        </w:rPr>
        <w:t>F</w:t>
      </w:r>
      <w:r w:rsidR="4F8CBCE3" w:rsidRPr="28EACE75">
        <w:rPr>
          <w:rFonts w:asciiTheme="minorHAnsi" w:hAnsiTheme="minorHAnsi" w:cstheme="minorBidi"/>
          <w:b/>
          <w:bCs/>
        </w:rPr>
        <w:t>inanziamento</w:t>
      </w:r>
      <w:bookmarkEnd w:id="1"/>
    </w:p>
    <w:p w14:paraId="0EE68937" w14:textId="6F016CD6" w:rsidR="4F8CBCE3" w:rsidRDefault="4F8CBCE3" w:rsidP="28EACE75">
      <w:pPr>
        <w:spacing w:line="360" w:lineRule="auto"/>
        <w:rPr>
          <w:rFonts w:asciiTheme="minorHAnsi" w:hAnsiTheme="minorHAnsi" w:cstheme="minorBidi"/>
        </w:rPr>
      </w:pPr>
      <w:r w:rsidRPr="28EACE75">
        <w:rPr>
          <w:rFonts w:asciiTheme="minorHAnsi" w:hAnsiTheme="minorHAnsi" w:cstheme="minorBidi"/>
        </w:rPr>
        <w:t xml:space="preserve">Lo studio è finanziato da sovvenzioni di Danmarks Frie Forskningsfond (4.220.996 DKK), del Comitato di Ricerca presso Rigshospitalet (2.040.000 DKK), del Fondo per la Ricerca Sanitaria della Regione Capitale (1.740.428 DKK), della Beckett Fonden (100.000 DKK), della Læge Inger Goldmanns Fond (100.000 DKK) e della Grosserer Jakob Ehrenreich og Hustru Grete Ehrenreichs Fond (512.000 DKK). </w:t>
      </w:r>
    </w:p>
    <w:p w14:paraId="47E10B9C" w14:textId="4FDD8F35" w:rsidR="4F8CBCE3" w:rsidRDefault="4F8CBCE3" w:rsidP="28EACE75">
      <w:pPr>
        <w:spacing w:line="360" w:lineRule="auto"/>
      </w:pPr>
      <w:r w:rsidRPr="28EACE75">
        <w:rPr>
          <w:rFonts w:asciiTheme="minorHAnsi" w:hAnsiTheme="minorHAnsi" w:cstheme="minorBidi"/>
        </w:rPr>
        <w:t xml:space="preserve"> </w:t>
      </w:r>
    </w:p>
    <w:p w14:paraId="1AE67566" w14:textId="63AD0ECE" w:rsidR="4F8CBCE3" w:rsidRDefault="4F8CBCE3" w:rsidP="28EACE75">
      <w:pPr>
        <w:spacing w:line="360" w:lineRule="auto"/>
      </w:pPr>
      <w:r w:rsidRPr="28EACE75">
        <w:rPr>
          <w:rFonts w:asciiTheme="minorHAnsi" w:hAnsiTheme="minorHAnsi" w:cstheme="minorBidi"/>
        </w:rPr>
        <w:t xml:space="preserve">Lo studio utilizza infrastrutture e metodologie sviluppate nell’ambito del programma Intensive Care Platform Trial (INCEPT) (www.incept.dk), finanziato da Novo Nordisk Fonden (29.985.000 DKK) e da Sygeforsikringen "danmark" (7.300.000 DKK), e sostenuto dalla Grosserer Jakob Ehrenreich og Hustru Grete Ehrenreichs Fond (200.000 DKK), dalla Dagmar Marshalls Fond (93.516 DKK) e dal Savværksejer Jeppe Juhl og hustru Ovita Juhls Mindelegat (1.000.000 DKK). Gli enti </w:t>
      </w:r>
      <w:r w:rsidRPr="28EACE75">
        <w:rPr>
          <w:rFonts w:asciiTheme="minorHAnsi" w:hAnsiTheme="minorHAnsi" w:cstheme="minorBidi"/>
        </w:rPr>
        <w:lastRenderedPageBreak/>
        <w:t>finanziatori non sono stati e non saranno coinvolti nella progettazione, conduzione, analisi o rendicontazione dello studio, né avranno alcun diritto di proprietà sui dati. I suddetti finanziamenti coprono spese fisse quali 1) la remunerazione di ricercatori, infermieri di progetto, analisti dei dati e altro personale direttamente coinvolto nello studio, nonché il compenso dei reparti partecipanti allo studio; 2) le spese amministrative, comprese quelle relative alla gestione e al monitoraggio dello studio, tra cui gestione dei dati, sorveglianza della sicurezza, autorizzazioni etiche, assicurazioni e altri requisiti regolatori.</w:t>
      </w:r>
    </w:p>
    <w:p w14:paraId="036DF109" w14:textId="77777777" w:rsidR="00F70334" w:rsidRPr="00EB1EDD" w:rsidRDefault="00F70334" w:rsidP="28EACE75">
      <w:pPr>
        <w:spacing w:line="360" w:lineRule="auto"/>
        <w:rPr>
          <w:rFonts w:asciiTheme="minorHAnsi" w:hAnsiTheme="minorHAnsi" w:cstheme="minorBidi"/>
          <w:b/>
          <w:bCs/>
        </w:rPr>
      </w:pPr>
    </w:p>
    <w:p w14:paraId="3C235E34" w14:textId="59E55EA4" w:rsidR="4F8CBCE3" w:rsidRDefault="4F8CBCE3" w:rsidP="28EACE75">
      <w:pPr>
        <w:spacing w:line="360" w:lineRule="auto"/>
      </w:pPr>
      <w:r w:rsidRPr="28EACE75">
        <w:rPr>
          <w:rFonts w:asciiTheme="minorHAnsi" w:hAnsiTheme="minorHAnsi" w:cstheme="minorBidi"/>
          <w:b/>
          <w:bCs/>
        </w:rPr>
        <w:t>Assicurazione</w:t>
      </w:r>
    </w:p>
    <w:p w14:paraId="19E055E8" w14:textId="3422AF3A" w:rsidR="4F8CBCE3" w:rsidRDefault="4F8CBCE3" w:rsidP="28EACE75">
      <w:pPr>
        <w:spacing w:line="360" w:lineRule="auto"/>
        <w:rPr>
          <w:rFonts w:asciiTheme="minorHAnsi" w:hAnsiTheme="minorHAnsi" w:cstheme="minorBidi"/>
        </w:rPr>
      </w:pPr>
      <w:r w:rsidRPr="28EACE75">
        <w:rPr>
          <w:rFonts w:asciiTheme="minorHAnsi" w:hAnsiTheme="minorHAnsi" w:cstheme="minorBidi"/>
        </w:rPr>
        <w:t>Durante la partecipazione allo studio il suo familiare è coperto/a dall’assicurazione danese per i pazienti (Patienterstatningen).</w:t>
      </w:r>
    </w:p>
    <w:p w14:paraId="3A3926B6" w14:textId="182E4BB9" w:rsidR="00A4204C" w:rsidRDefault="00A4204C" w:rsidP="28EACE75">
      <w:pPr>
        <w:spacing w:line="360" w:lineRule="auto"/>
        <w:rPr>
          <w:rFonts w:asciiTheme="minorHAnsi" w:hAnsiTheme="minorHAnsi" w:cstheme="minorBidi"/>
          <w:b/>
          <w:bCs/>
        </w:rPr>
      </w:pPr>
    </w:p>
    <w:p w14:paraId="2C016792" w14:textId="77777777" w:rsidR="00A4204C" w:rsidRDefault="00A4204C" w:rsidP="28EACE75">
      <w:pPr>
        <w:spacing w:line="360" w:lineRule="auto"/>
        <w:rPr>
          <w:rFonts w:asciiTheme="minorHAnsi" w:hAnsiTheme="minorHAnsi" w:cstheme="minorBidi"/>
          <w:b/>
          <w:bCs/>
        </w:rPr>
      </w:pPr>
    </w:p>
    <w:p w14:paraId="5FE3EB64" w14:textId="3171814F" w:rsidR="00F70334" w:rsidRPr="00EB1EDD" w:rsidRDefault="00F70334" w:rsidP="28EACE75">
      <w:pPr>
        <w:spacing w:line="360" w:lineRule="auto"/>
        <w:rPr>
          <w:rFonts w:asciiTheme="minorHAnsi" w:hAnsiTheme="minorHAnsi" w:cstheme="minorBidi"/>
          <w:b/>
          <w:bCs/>
        </w:rPr>
      </w:pPr>
      <w:r w:rsidRPr="28EACE75">
        <w:rPr>
          <w:rFonts w:asciiTheme="minorHAnsi" w:hAnsiTheme="minorHAnsi" w:cstheme="minorBidi"/>
          <w:b/>
          <w:bCs/>
        </w:rPr>
        <w:t>Access</w:t>
      </w:r>
      <w:r w:rsidR="20DAFF0E" w:rsidRPr="28EACE75">
        <w:rPr>
          <w:rFonts w:asciiTheme="minorHAnsi" w:hAnsiTheme="minorHAnsi" w:cstheme="minorBidi"/>
          <w:b/>
          <w:bCs/>
        </w:rPr>
        <w:t>o ai risultati</w:t>
      </w:r>
    </w:p>
    <w:p w14:paraId="3456EC76" w14:textId="43CE5B47" w:rsidR="20DAFF0E" w:rsidRDefault="20DAFF0E" w:rsidP="28EACE75">
      <w:pPr>
        <w:spacing w:line="360" w:lineRule="auto"/>
        <w:rPr>
          <w:rFonts w:asciiTheme="minorHAnsi" w:hAnsiTheme="minorHAnsi" w:cstheme="minorBidi"/>
        </w:rPr>
      </w:pPr>
      <w:r w:rsidRPr="28EACE75">
        <w:rPr>
          <w:rFonts w:asciiTheme="minorHAnsi" w:hAnsiTheme="minorHAnsi" w:cstheme="minorBidi"/>
        </w:rPr>
        <w:t>Al termine dello studio, i risultati saranno pubblicati su una rivista scientifica internazionale. Inoltre, un riassunto dei risultati dello studio, comprensivo di una versione in linguaggio semplice, sarà pubblicato nel database dell’UE (euclinicaltrials.eu). Se desidera ricevere informazioni sui risultati del progetto, può contattare i sottoscritti.</w:t>
      </w:r>
    </w:p>
    <w:p w14:paraId="0F66690D" w14:textId="77777777" w:rsidR="00EB1EDD" w:rsidRDefault="00EB1EDD" w:rsidP="28EACE75">
      <w:pPr>
        <w:pStyle w:val="Heading1"/>
        <w:spacing w:line="360" w:lineRule="auto"/>
        <w:rPr>
          <w:rFonts w:asciiTheme="minorHAnsi" w:hAnsiTheme="minorHAnsi" w:cstheme="minorBidi"/>
          <w:sz w:val="24"/>
          <w:szCs w:val="24"/>
        </w:rPr>
      </w:pPr>
    </w:p>
    <w:p w14:paraId="13BF9DF8" w14:textId="77C98C11" w:rsidR="00F70334" w:rsidRPr="00EB1EDD" w:rsidRDefault="00F70334" w:rsidP="28EACE75">
      <w:pPr>
        <w:pStyle w:val="Heading1"/>
        <w:spacing w:line="360" w:lineRule="auto"/>
        <w:rPr>
          <w:rFonts w:asciiTheme="minorHAnsi" w:hAnsiTheme="minorHAnsi" w:cstheme="minorBidi"/>
          <w:sz w:val="24"/>
          <w:szCs w:val="24"/>
        </w:rPr>
      </w:pPr>
      <w:r w:rsidRPr="28EACE75">
        <w:rPr>
          <w:rFonts w:asciiTheme="minorHAnsi" w:hAnsiTheme="minorHAnsi" w:cstheme="minorBidi"/>
          <w:sz w:val="24"/>
          <w:szCs w:val="24"/>
        </w:rPr>
        <w:t>Con</w:t>
      </w:r>
      <w:r w:rsidR="33300320" w:rsidRPr="28EACE75">
        <w:rPr>
          <w:rFonts w:asciiTheme="minorHAnsi" w:hAnsiTheme="minorHAnsi" w:cstheme="minorBidi"/>
          <w:sz w:val="24"/>
          <w:szCs w:val="24"/>
        </w:rPr>
        <w:t>tatti</w:t>
      </w:r>
    </w:p>
    <w:p w14:paraId="14738C13" w14:textId="4D22C387" w:rsidR="33300320" w:rsidRDefault="33300320" w:rsidP="28EACE75">
      <w:pPr>
        <w:pStyle w:val="BodyText2"/>
        <w:spacing w:line="360" w:lineRule="auto"/>
        <w:rPr>
          <w:rFonts w:asciiTheme="minorHAnsi" w:hAnsiTheme="minorHAnsi" w:cstheme="minorBidi"/>
          <w:b w:val="0"/>
          <w:bCs w:val="0"/>
          <w:sz w:val="24"/>
          <w:szCs w:val="24"/>
        </w:rPr>
      </w:pPr>
      <w:r w:rsidRPr="28EACE75">
        <w:rPr>
          <w:rFonts w:asciiTheme="minorHAnsi" w:hAnsiTheme="minorHAnsi" w:cstheme="minorBidi"/>
          <w:b w:val="0"/>
          <w:bCs w:val="0"/>
          <w:sz w:val="24"/>
          <w:szCs w:val="24"/>
        </w:rPr>
        <w:t xml:space="preserve">Ci auguriamo che queste informazioni siano sufficienti per consentirLe una decisione consapevole. Per ulteriori chiarimenti può contattare il medico responsabile dello studio. La invitiamo inoltre a leggere il documento allegato “I Suoi diritti come partecipante a una sperimentazione con farmaci” del Comitato Nazionale di Etica Scientifica. Rimaniamo a disposizione per qualsiasi domanda. </w:t>
      </w:r>
    </w:p>
    <w:p w14:paraId="6509835B" w14:textId="13656D27" w:rsidR="33300320" w:rsidRDefault="33300320" w:rsidP="28EACE75">
      <w:pPr>
        <w:pStyle w:val="BodyText2"/>
        <w:spacing w:line="360" w:lineRule="auto"/>
      </w:pPr>
      <w:r w:rsidRPr="28EACE75">
        <w:rPr>
          <w:rFonts w:asciiTheme="minorHAnsi" w:hAnsiTheme="minorHAnsi" w:cstheme="minorBidi"/>
          <w:b w:val="0"/>
          <w:bCs w:val="0"/>
          <w:sz w:val="24"/>
          <w:szCs w:val="24"/>
        </w:rPr>
        <w:t xml:space="preserve"> </w:t>
      </w:r>
    </w:p>
    <w:p w14:paraId="59E00F71" w14:textId="7A6866EA" w:rsidR="28EACE75" w:rsidRDefault="28EACE75" w:rsidP="28EACE75">
      <w:pPr>
        <w:pStyle w:val="BodyText2"/>
        <w:spacing w:line="360" w:lineRule="auto"/>
        <w:rPr>
          <w:rFonts w:asciiTheme="minorHAnsi" w:hAnsiTheme="minorHAnsi" w:cstheme="minorBidi"/>
          <w:b w:val="0"/>
          <w:bCs w:val="0"/>
          <w:sz w:val="24"/>
          <w:szCs w:val="24"/>
        </w:rPr>
      </w:pPr>
    </w:p>
    <w:p w14:paraId="0DFBFDCA" w14:textId="4F47DB1D" w:rsidR="33300320" w:rsidRDefault="33300320" w:rsidP="28EACE75">
      <w:pPr>
        <w:pStyle w:val="BodyText2"/>
        <w:spacing w:line="360" w:lineRule="auto"/>
      </w:pPr>
      <w:r w:rsidRPr="28EACE75">
        <w:rPr>
          <w:rFonts w:asciiTheme="minorHAnsi" w:hAnsiTheme="minorHAnsi" w:cstheme="minorBidi"/>
          <w:b w:val="0"/>
          <w:bCs w:val="0"/>
          <w:sz w:val="24"/>
          <w:szCs w:val="24"/>
        </w:rPr>
        <w:t xml:space="preserve"> </w:t>
      </w:r>
    </w:p>
    <w:p w14:paraId="411F16DA" w14:textId="0BCBFAAE" w:rsidR="33300320" w:rsidRDefault="33300320" w:rsidP="28EACE75">
      <w:pPr>
        <w:pStyle w:val="BodyText2"/>
        <w:spacing w:line="360" w:lineRule="auto"/>
      </w:pPr>
      <w:r w:rsidRPr="28EACE75">
        <w:rPr>
          <w:rFonts w:asciiTheme="minorHAnsi" w:hAnsiTheme="minorHAnsi" w:cstheme="minorBidi"/>
          <w:b w:val="0"/>
          <w:bCs w:val="0"/>
          <w:sz w:val="24"/>
          <w:szCs w:val="24"/>
        </w:rPr>
        <w:t xml:space="preserve"> </w:t>
      </w:r>
    </w:p>
    <w:p w14:paraId="34A3E474" w14:textId="73EC4D37" w:rsidR="33300320" w:rsidRDefault="33300320" w:rsidP="28EACE75">
      <w:pPr>
        <w:pStyle w:val="BodyText2"/>
        <w:spacing w:line="360" w:lineRule="auto"/>
      </w:pPr>
      <w:r w:rsidRPr="28EACE75">
        <w:rPr>
          <w:rFonts w:asciiTheme="minorHAnsi" w:hAnsiTheme="minorHAnsi" w:cstheme="minorBidi"/>
          <w:b w:val="0"/>
          <w:bCs w:val="0"/>
          <w:sz w:val="24"/>
          <w:szCs w:val="24"/>
        </w:rPr>
        <w:t xml:space="preserve"> </w:t>
      </w:r>
    </w:p>
    <w:p w14:paraId="6674BAFE" w14:textId="6C858434" w:rsidR="33300320" w:rsidRDefault="33300320" w:rsidP="28EACE75">
      <w:pPr>
        <w:pStyle w:val="BodyText2"/>
        <w:spacing w:line="360" w:lineRule="auto"/>
      </w:pPr>
      <w:r w:rsidRPr="28EACE75">
        <w:rPr>
          <w:rFonts w:asciiTheme="minorHAnsi" w:hAnsiTheme="minorHAnsi" w:cstheme="minorBidi"/>
          <w:b w:val="0"/>
          <w:bCs w:val="0"/>
          <w:sz w:val="24"/>
          <w:szCs w:val="24"/>
        </w:rPr>
        <w:t xml:space="preserve"> </w:t>
      </w:r>
    </w:p>
    <w:p w14:paraId="753E6F4A" w14:textId="4E5CD5F3" w:rsidR="33300320" w:rsidRDefault="33300320" w:rsidP="28EACE75">
      <w:pPr>
        <w:pStyle w:val="BodyText2"/>
        <w:spacing w:line="360" w:lineRule="auto"/>
      </w:pPr>
      <w:r w:rsidRPr="28EACE75">
        <w:rPr>
          <w:rFonts w:asciiTheme="minorHAnsi" w:hAnsiTheme="minorHAnsi" w:cstheme="minorBidi"/>
          <w:b w:val="0"/>
          <w:bCs w:val="0"/>
          <w:sz w:val="24"/>
          <w:szCs w:val="24"/>
        </w:rPr>
        <w:lastRenderedPageBreak/>
        <w:t xml:space="preserve"> </w:t>
      </w:r>
    </w:p>
    <w:p w14:paraId="0FB30B5F" w14:textId="06FB0990" w:rsidR="33300320" w:rsidRDefault="33300320" w:rsidP="28EACE75">
      <w:pPr>
        <w:pStyle w:val="BodyText2"/>
        <w:spacing w:line="360" w:lineRule="auto"/>
        <w:rPr>
          <w:rFonts w:asciiTheme="minorHAnsi" w:hAnsiTheme="minorHAnsi" w:cstheme="minorBidi"/>
          <w:b w:val="0"/>
          <w:bCs w:val="0"/>
          <w:sz w:val="24"/>
          <w:szCs w:val="24"/>
        </w:rPr>
        <w:sectPr w:rsidR="33300320" w:rsidSect="00234C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pPr>
      <w:r w:rsidRPr="28EACE75">
        <w:rPr>
          <w:rFonts w:asciiTheme="minorHAnsi" w:hAnsiTheme="minorHAnsi" w:cstheme="minorBidi"/>
          <w:b w:val="0"/>
          <w:bCs w:val="0"/>
          <w:sz w:val="24"/>
          <w:szCs w:val="24"/>
        </w:rPr>
        <w:t>Per conto del comitato direttivo dello studio EMPRESS,</w:t>
      </w:r>
      <w:bookmarkStart w:id="2" w:name="_Hlk192137621"/>
    </w:p>
    <w:p w14:paraId="49A1B119" w14:textId="5937FB5B" w:rsidR="00F70334" w:rsidRPr="00EB1EDD" w:rsidRDefault="00F70334" w:rsidP="28EACE75">
      <w:pPr>
        <w:pStyle w:val="BodyText2"/>
        <w:spacing w:line="360" w:lineRule="auto"/>
        <w:rPr>
          <w:rFonts w:asciiTheme="minorHAnsi" w:hAnsiTheme="minorHAnsi" w:cstheme="minorBidi"/>
          <w:b w:val="0"/>
          <w:bCs w:val="0"/>
          <w:sz w:val="24"/>
          <w:szCs w:val="24"/>
        </w:rPr>
      </w:pPr>
    </w:p>
    <w:p w14:paraId="5B13DC2E" w14:textId="77777777" w:rsidR="00F70334" w:rsidRPr="00EB1EDD" w:rsidRDefault="00F70334" w:rsidP="28EACE75">
      <w:pPr>
        <w:pStyle w:val="BodyText2"/>
        <w:spacing w:line="360" w:lineRule="auto"/>
        <w:rPr>
          <w:rFonts w:asciiTheme="minorHAnsi" w:hAnsiTheme="minorHAnsi" w:cstheme="minorBidi"/>
          <w:b w:val="0"/>
          <w:bCs w:val="0"/>
          <w:sz w:val="24"/>
          <w:szCs w:val="24"/>
        </w:rPr>
      </w:pPr>
    </w:p>
    <w:p w14:paraId="148B7C9E" w14:textId="02EF82AA" w:rsidR="28EACE75" w:rsidRDefault="28EACE75" w:rsidP="28EACE75">
      <w:pPr>
        <w:pStyle w:val="BodyText2"/>
        <w:spacing w:line="360" w:lineRule="auto"/>
        <w:rPr>
          <w:rFonts w:asciiTheme="minorHAnsi" w:hAnsiTheme="minorHAnsi" w:cstheme="minorBidi"/>
          <w:b w:val="0"/>
          <w:bCs w:val="0"/>
          <w:sz w:val="24"/>
          <w:szCs w:val="24"/>
        </w:rPr>
      </w:pPr>
    </w:p>
    <w:p w14:paraId="2E921790" w14:textId="5F1063B2" w:rsidR="28EACE75" w:rsidRDefault="28EACE75" w:rsidP="28EACE75">
      <w:pPr>
        <w:pStyle w:val="BodyText2"/>
        <w:spacing w:line="360" w:lineRule="auto"/>
        <w:rPr>
          <w:rFonts w:asciiTheme="minorHAnsi" w:hAnsiTheme="minorHAnsi" w:cstheme="minorBidi"/>
          <w:b w:val="0"/>
          <w:bCs w:val="0"/>
          <w:sz w:val="24"/>
          <w:szCs w:val="24"/>
        </w:rPr>
      </w:pPr>
    </w:p>
    <w:p w14:paraId="23F2B138" w14:textId="77777777" w:rsidR="00F70334" w:rsidRPr="00EB1EDD" w:rsidRDefault="00F70334" w:rsidP="28EACE75">
      <w:pPr>
        <w:pStyle w:val="BodyText2"/>
        <w:spacing w:line="360" w:lineRule="auto"/>
        <w:rPr>
          <w:rFonts w:asciiTheme="minorHAnsi" w:hAnsiTheme="minorHAnsi" w:cstheme="minorBidi"/>
          <w:b w:val="0"/>
          <w:bCs w:val="0"/>
          <w:sz w:val="20"/>
          <w:szCs w:val="20"/>
        </w:rPr>
      </w:pPr>
      <w:r w:rsidRPr="28EACE75">
        <w:rPr>
          <w:rFonts w:asciiTheme="minorHAnsi" w:hAnsiTheme="minorHAnsi" w:cstheme="minorBidi"/>
          <w:b w:val="0"/>
          <w:bCs w:val="0"/>
          <w:sz w:val="24"/>
          <w:szCs w:val="24"/>
        </w:rPr>
        <w:t xml:space="preserve">Nick Meier, </w:t>
      </w:r>
      <w:r w:rsidRPr="28EACE75">
        <w:rPr>
          <w:rFonts w:asciiTheme="minorHAnsi" w:hAnsiTheme="minorHAnsi" w:cstheme="minorBidi"/>
          <w:b w:val="0"/>
          <w:bCs w:val="0"/>
          <w:i/>
          <w:iCs/>
          <w:sz w:val="24"/>
          <w:szCs w:val="24"/>
        </w:rPr>
        <w:t>coordinating investigator</w:t>
      </w:r>
      <w:r>
        <w:br/>
      </w:r>
      <w:r w:rsidRPr="28EACE75">
        <w:rPr>
          <w:rFonts w:asciiTheme="minorHAnsi" w:hAnsiTheme="minorHAnsi" w:cstheme="minorBidi"/>
          <w:b w:val="0"/>
          <w:bCs w:val="0"/>
          <w:sz w:val="20"/>
          <w:szCs w:val="20"/>
        </w:rPr>
        <w:t>MD, PhD-student</w:t>
      </w:r>
      <w:r>
        <w:br/>
      </w:r>
      <w:r w:rsidRPr="28EACE75">
        <w:rPr>
          <w:rFonts w:asciiTheme="minorHAnsi" w:hAnsiTheme="minorHAnsi" w:cstheme="minorBidi"/>
          <w:b w:val="0"/>
          <w:bCs w:val="0"/>
          <w:sz w:val="20"/>
          <w:szCs w:val="20"/>
        </w:rPr>
        <w:t>Department of Intensive Care, 4131, Rigshospitalet</w:t>
      </w:r>
    </w:p>
    <w:p w14:paraId="30858963" w14:textId="77777777" w:rsidR="00F70334" w:rsidRPr="009B53D9" w:rsidRDefault="00F70334" w:rsidP="28EACE75">
      <w:pPr>
        <w:pStyle w:val="BodyText2"/>
        <w:spacing w:line="360" w:lineRule="auto"/>
        <w:rPr>
          <w:rFonts w:asciiTheme="minorHAnsi" w:hAnsiTheme="minorHAnsi" w:cstheme="minorBidi"/>
          <w:b w:val="0"/>
          <w:bCs w:val="0"/>
          <w:sz w:val="20"/>
          <w:szCs w:val="20"/>
          <w:lang w:val="de-DE"/>
        </w:rPr>
      </w:pPr>
      <w:r w:rsidRPr="28EACE75">
        <w:rPr>
          <w:rFonts w:asciiTheme="minorHAnsi" w:hAnsiTheme="minorHAnsi" w:cstheme="minorBidi"/>
          <w:b w:val="0"/>
          <w:bCs w:val="0"/>
          <w:sz w:val="20"/>
          <w:szCs w:val="20"/>
        </w:rPr>
        <w:t xml:space="preserve">Blegdamsvej 9, 2100 Copenhagen Ø </w:t>
      </w:r>
      <w:r>
        <w:br/>
      </w:r>
      <w:r w:rsidRPr="28EACE75">
        <w:rPr>
          <w:rFonts w:asciiTheme="minorHAnsi" w:hAnsiTheme="minorHAnsi" w:cstheme="minorBidi"/>
          <w:b w:val="0"/>
          <w:bCs w:val="0"/>
          <w:sz w:val="20"/>
          <w:szCs w:val="20"/>
        </w:rPr>
        <w:t>E-mail: nick.meier@regionh.dk</w:t>
      </w:r>
    </w:p>
    <w:p w14:paraId="0DF45EDA" w14:textId="77777777" w:rsidR="00F70334" w:rsidRPr="009B53D9" w:rsidRDefault="00F70334" w:rsidP="28EACE75">
      <w:pPr>
        <w:pStyle w:val="BodyText2"/>
        <w:spacing w:line="360" w:lineRule="auto"/>
        <w:rPr>
          <w:rFonts w:asciiTheme="minorHAnsi" w:hAnsiTheme="minorHAnsi" w:cstheme="minorBidi"/>
          <w:b w:val="0"/>
          <w:bCs w:val="0"/>
          <w:sz w:val="24"/>
          <w:szCs w:val="24"/>
          <w:lang w:val="de-DE"/>
        </w:rPr>
      </w:pPr>
      <w:r w:rsidRPr="28EACE75">
        <w:rPr>
          <w:rFonts w:asciiTheme="minorHAnsi" w:hAnsiTheme="minorHAnsi" w:cstheme="minorBidi"/>
          <w:b w:val="0"/>
          <w:bCs w:val="0"/>
          <w:sz w:val="24"/>
          <w:szCs w:val="24"/>
        </w:rPr>
        <w:t xml:space="preserve"> </w:t>
      </w:r>
      <w:r>
        <w:br/>
      </w:r>
    </w:p>
    <w:p w14:paraId="72E79A66" w14:textId="77777777" w:rsidR="00F70334" w:rsidRPr="009B53D9" w:rsidRDefault="00F70334" w:rsidP="28EACE75">
      <w:pPr>
        <w:pStyle w:val="BodyText2"/>
        <w:spacing w:line="360" w:lineRule="auto"/>
        <w:rPr>
          <w:rFonts w:asciiTheme="minorHAnsi" w:hAnsiTheme="minorHAnsi" w:cstheme="minorBidi"/>
          <w:b w:val="0"/>
          <w:bCs w:val="0"/>
          <w:sz w:val="24"/>
          <w:szCs w:val="24"/>
          <w:lang w:val="de-DE"/>
        </w:rPr>
      </w:pPr>
    </w:p>
    <w:p w14:paraId="3A1B26A7" w14:textId="77777777" w:rsidR="00F70334" w:rsidRPr="009B53D9" w:rsidRDefault="00F70334" w:rsidP="28EACE75">
      <w:pPr>
        <w:pStyle w:val="BodyText2"/>
        <w:spacing w:line="360" w:lineRule="auto"/>
        <w:rPr>
          <w:rFonts w:asciiTheme="minorHAnsi" w:hAnsiTheme="minorHAnsi" w:cstheme="minorBidi"/>
          <w:b w:val="0"/>
          <w:bCs w:val="0"/>
          <w:sz w:val="24"/>
          <w:szCs w:val="24"/>
          <w:lang w:val="de-DE"/>
        </w:rPr>
      </w:pPr>
    </w:p>
    <w:p w14:paraId="3EA6A837" w14:textId="77777777" w:rsidR="00F70334" w:rsidRPr="009B53D9" w:rsidRDefault="00F70334" w:rsidP="28EACE75">
      <w:pPr>
        <w:pStyle w:val="BodyText2"/>
        <w:spacing w:line="360" w:lineRule="auto"/>
        <w:rPr>
          <w:rFonts w:asciiTheme="minorHAnsi" w:hAnsiTheme="minorHAnsi" w:cstheme="minorBidi"/>
          <w:b w:val="0"/>
          <w:bCs w:val="0"/>
          <w:sz w:val="24"/>
          <w:szCs w:val="24"/>
          <w:lang w:val="de-DE"/>
        </w:rPr>
      </w:pPr>
    </w:p>
    <w:p w14:paraId="1FDFE31C" w14:textId="67345CDE" w:rsidR="00F70334" w:rsidRPr="009B53D9" w:rsidRDefault="00F70334" w:rsidP="28EACE75">
      <w:pPr>
        <w:pStyle w:val="BodyText2"/>
        <w:spacing w:line="360" w:lineRule="auto"/>
        <w:rPr>
          <w:rFonts w:asciiTheme="minorHAnsi" w:hAnsiTheme="minorHAnsi" w:cstheme="minorBidi"/>
          <w:b w:val="0"/>
          <w:bCs w:val="0"/>
          <w:sz w:val="24"/>
          <w:szCs w:val="24"/>
          <w:lang w:val="de-DE"/>
        </w:rPr>
      </w:pPr>
    </w:p>
    <w:p w14:paraId="5F579E45" w14:textId="77777777" w:rsidR="00F70334" w:rsidRPr="00EB1EDD" w:rsidRDefault="00F70334" w:rsidP="28EACE75">
      <w:pPr>
        <w:pStyle w:val="BodyText2"/>
        <w:spacing w:line="360" w:lineRule="auto"/>
        <w:rPr>
          <w:rFonts w:asciiTheme="minorHAnsi" w:hAnsiTheme="minorHAnsi" w:cstheme="minorBidi"/>
          <w:b w:val="0"/>
          <w:bCs w:val="0"/>
          <w:sz w:val="24"/>
          <w:szCs w:val="24"/>
        </w:rPr>
      </w:pPr>
      <w:r w:rsidRPr="28EACE75">
        <w:rPr>
          <w:rFonts w:asciiTheme="minorHAnsi" w:hAnsiTheme="minorHAnsi" w:cstheme="minorBidi"/>
          <w:b w:val="0"/>
          <w:bCs w:val="0"/>
          <w:sz w:val="24"/>
          <w:szCs w:val="24"/>
        </w:rPr>
        <w:t xml:space="preserve">Morten Hylander Møller, </w:t>
      </w:r>
      <w:r w:rsidRPr="28EACE75">
        <w:rPr>
          <w:rFonts w:asciiTheme="minorHAnsi" w:hAnsiTheme="minorHAnsi" w:cstheme="minorBidi"/>
          <w:b w:val="0"/>
          <w:bCs w:val="0"/>
          <w:i/>
          <w:iCs/>
          <w:sz w:val="24"/>
          <w:szCs w:val="24"/>
        </w:rPr>
        <w:t>sponsor</w:t>
      </w:r>
    </w:p>
    <w:p w14:paraId="3F5FA0F2" w14:textId="2E9ECF56" w:rsidR="00F70334" w:rsidRPr="00EB1EDD" w:rsidRDefault="00F70334" w:rsidP="28EACE75">
      <w:pPr>
        <w:pStyle w:val="BodyText2"/>
        <w:spacing w:line="360" w:lineRule="auto"/>
        <w:rPr>
          <w:rFonts w:asciiTheme="minorHAnsi" w:hAnsiTheme="minorHAnsi" w:cstheme="minorBidi"/>
          <w:b w:val="0"/>
          <w:bCs w:val="0"/>
          <w:sz w:val="20"/>
          <w:szCs w:val="20"/>
        </w:rPr>
      </w:pPr>
      <w:r w:rsidRPr="28EACE75">
        <w:rPr>
          <w:rFonts w:asciiTheme="minorHAnsi" w:hAnsiTheme="minorHAnsi" w:cstheme="minorBidi"/>
          <w:b w:val="0"/>
          <w:bCs w:val="0"/>
          <w:sz w:val="20"/>
          <w:szCs w:val="20"/>
        </w:rPr>
        <w:t>Professor, chief physician</w:t>
      </w:r>
      <w:r w:rsidR="00C05FB3" w:rsidRPr="28EACE75">
        <w:rPr>
          <w:rFonts w:asciiTheme="minorHAnsi" w:hAnsiTheme="minorHAnsi" w:cstheme="minorBidi"/>
          <w:b w:val="0"/>
          <w:bCs w:val="0"/>
          <w:sz w:val="20"/>
          <w:szCs w:val="20"/>
        </w:rPr>
        <w:t xml:space="preserve">, </w:t>
      </w:r>
      <w:r w:rsidR="00697303" w:rsidRPr="28EACE75">
        <w:rPr>
          <w:rFonts w:asciiTheme="minorHAnsi" w:hAnsiTheme="minorHAnsi" w:cstheme="minorBidi"/>
          <w:b w:val="0"/>
          <w:bCs w:val="0"/>
          <w:sz w:val="20"/>
          <w:szCs w:val="20"/>
        </w:rPr>
        <w:t>PhD</w:t>
      </w:r>
      <w:r w:rsidRPr="28EACE75">
        <w:rPr>
          <w:rFonts w:asciiTheme="minorHAnsi" w:hAnsiTheme="minorHAnsi" w:cstheme="minorBidi"/>
          <w:b w:val="0"/>
          <w:bCs w:val="0"/>
          <w:sz w:val="20"/>
          <w:szCs w:val="20"/>
        </w:rPr>
        <w:t xml:space="preserve"> </w:t>
      </w:r>
    </w:p>
    <w:p w14:paraId="52AE429F" w14:textId="77777777" w:rsidR="00F70334" w:rsidRPr="00EB1EDD" w:rsidRDefault="00F70334" w:rsidP="28EACE75">
      <w:pPr>
        <w:pStyle w:val="BodyText2"/>
        <w:spacing w:line="360" w:lineRule="auto"/>
        <w:rPr>
          <w:rFonts w:asciiTheme="minorHAnsi" w:hAnsiTheme="minorHAnsi" w:cstheme="minorBidi"/>
          <w:b w:val="0"/>
          <w:bCs w:val="0"/>
          <w:sz w:val="20"/>
          <w:szCs w:val="20"/>
        </w:rPr>
      </w:pPr>
      <w:r w:rsidRPr="28EACE75">
        <w:rPr>
          <w:rFonts w:asciiTheme="minorHAnsi" w:hAnsiTheme="minorHAnsi" w:cstheme="minorBidi"/>
          <w:b w:val="0"/>
          <w:bCs w:val="0"/>
          <w:sz w:val="20"/>
          <w:szCs w:val="20"/>
        </w:rPr>
        <w:t>Department of Intensive Care, 4131, Rigshospitalet</w:t>
      </w:r>
    </w:p>
    <w:p w14:paraId="023EBE62" w14:textId="77777777" w:rsidR="00F70334" w:rsidRPr="00EB1EDD" w:rsidRDefault="00F70334" w:rsidP="28EACE75">
      <w:pPr>
        <w:pStyle w:val="BodyText2"/>
        <w:spacing w:line="360" w:lineRule="auto"/>
        <w:rPr>
          <w:rFonts w:asciiTheme="minorHAnsi" w:hAnsiTheme="minorHAnsi" w:cstheme="minorBidi"/>
          <w:b w:val="0"/>
          <w:bCs w:val="0"/>
          <w:sz w:val="20"/>
          <w:szCs w:val="20"/>
        </w:rPr>
      </w:pPr>
      <w:r w:rsidRPr="28EACE75">
        <w:rPr>
          <w:rFonts w:asciiTheme="minorHAnsi" w:hAnsiTheme="minorHAnsi" w:cstheme="minorBidi"/>
          <w:b w:val="0"/>
          <w:bCs w:val="0"/>
          <w:sz w:val="20"/>
          <w:szCs w:val="20"/>
        </w:rPr>
        <w:t>Blegdamsvej 9, 2100 Copenhagen Ø</w:t>
      </w:r>
    </w:p>
    <w:tbl>
      <w:tblPr>
        <w:tblW w:w="4597" w:type="dxa"/>
        <w:tblBorders>
          <w:top w:val="nil"/>
          <w:left w:val="nil"/>
          <w:bottom w:val="nil"/>
          <w:right w:val="nil"/>
        </w:tblBorders>
        <w:tblLayout w:type="fixed"/>
        <w:tblLook w:val="0000" w:firstRow="0" w:lastRow="0" w:firstColumn="0" w:lastColumn="0" w:noHBand="0" w:noVBand="0"/>
      </w:tblPr>
      <w:tblGrid>
        <w:gridCol w:w="4597"/>
      </w:tblGrid>
      <w:tr w:rsidR="00F70334" w:rsidRPr="00972450" w14:paraId="5C46958D" w14:textId="77777777" w:rsidTr="28EACE75">
        <w:trPr>
          <w:trHeight w:val="392"/>
        </w:trPr>
        <w:tc>
          <w:tcPr>
            <w:tcW w:w="4597" w:type="dxa"/>
          </w:tcPr>
          <w:p w14:paraId="3C1A694D" w14:textId="77777777" w:rsidR="00F70334" w:rsidRPr="009B53D9" w:rsidRDefault="00F70334" w:rsidP="28EACE75">
            <w:pPr>
              <w:autoSpaceDE w:val="0"/>
              <w:autoSpaceDN w:val="0"/>
              <w:adjustRightInd w:val="0"/>
              <w:spacing w:line="360" w:lineRule="auto"/>
              <w:ind w:left="-113"/>
              <w:rPr>
                <w:rFonts w:asciiTheme="minorHAnsi" w:eastAsiaTheme="minorEastAsia" w:hAnsiTheme="minorHAnsi" w:cstheme="minorBidi"/>
                <w:color w:val="000000"/>
                <w:sz w:val="20"/>
                <w:szCs w:val="20"/>
                <w:lang w:val="de-DE" w:eastAsia="en-US"/>
              </w:rPr>
            </w:pPr>
            <w:r w:rsidRPr="28EACE75">
              <w:rPr>
                <w:rFonts w:asciiTheme="minorHAnsi" w:hAnsiTheme="minorHAnsi" w:cstheme="minorBidi"/>
                <w:sz w:val="20"/>
                <w:szCs w:val="20"/>
              </w:rPr>
              <w:t>E-mail: morten.hylander.moeller@regionh.dk</w:t>
            </w:r>
          </w:p>
        </w:tc>
      </w:tr>
      <w:bookmarkEnd w:id="2"/>
    </w:tbl>
    <w:p w14:paraId="0BA3B0E8" w14:textId="5D0F75E4" w:rsidR="006149D7" w:rsidRPr="009B53D9" w:rsidRDefault="006149D7" w:rsidP="28EACE75">
      <w:pPr>
        <w:pStyle w:val="BodyText2"/>
        <w:spacing w:line="360" w:lineRule="auto"/>
        <w:rPr>
          <w:rFonts w:asciiTheme="minorHAnsi" w:hAnsiTheme="minorHAnsi" w:cstheme="minorBidi"/>
          <w:b w:val="0"/>
          <w:bCs w:val="0"/>
          <w:sz w:val="20"/>
          <w:szCs w:val="20"/>
          <w:lang w:val="de-DE"/>
        </w:rPr>
      </w:pPr>
    </w:p>
    <w:p w14:paraId="6C2A5741" w14:textId="7DDA80AC" w:rsidR="00BC232C" w:rsidRPr="009B53D9" w:rsidRDefault="00BC232C" w:rsidP="28EACE75">
      <w:pPr>
        <w:pStyle w:val="BodyText2"/>
        <w:spacing w:line="360" w:lineRule="auto"/>
        <w:rPr>
          <w:rFonts w:asciiTheme="minorHAnsi" w:hAnsiTheme="minorHAnsi" w:cstheme="minorBidi"/>
          <w:b w:val="0"/>
          <w:bCs w:val="0"/>
          <w:sz w:val="20"/>
          <w:szCs w:val="20"/>
          <w:lang w:val="de-DE"/>
        </w:rPr>
        <w:sectPr w:rsidR="00BC232C" w:rsidRPr="009B53D9" w:rsidSect="005459ED">
          <w:headerReference w:type="default" r:id="rId14"/>
          <w:footerReference w:type="default" r:id="rId15"/>
          <w:type w:val="continuous"/>
          <w:pgSz w:w="11906" w:h="16838"/>
          <w:pgMar w:top="1701" w:right="1134" w:bottom="1701" w:left="1134" w:header="708" w:footer="708" w:gutter="0"/>
          <w:cols w:num="2" w:space="708"/>
          <w:docGrid w:linePitch="360"/>
        </w:sectPr>
      </w:pPr>
    </w:p>
    <w:p w14:paraId="77BBF579" w14:textId="77777777" w:rsidR="00F91F31" w:rsidRPr="009B53D9" w:rsidRDefault="00F91F31" w:rsidP="28EACE75">
      <w:pPr>
        <w:spacing w:line="360" w:lineRule="auto"/>
        <w:rPr>
          <w:rFonts w:asciiTheme="minorHAnsi" w:hAnsiTheme="minorHAnsi" w:cstheme="minorBidi"/>
          <w:sz w:val="22"/>
          <w:szCs w:val="22"/>
          <w:lang w:val="de-DE"/>
        </w:rPr>
      </w:pPr>
    </w:p>
    <w:sectPr w:rsidR="00F91F31" w:rsidRPr="009B53D9" w:rsidSect="002C5991">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3BD0" w14:textId="77777777" w:rsidR="00A60439" w:rsidRDefault="00A60439" w:rsidP="00AF07F1">
      <w:r>
        <w:separator/>
      </w:r>
    </w:p>
  </w:endnote>
  <w:endnote w:type="continuationSeparator" w:id="0">
    <w:p w14:paraId="7F4FFE7E" w14:textId="77777777" w:rsidR="00A60439" w:rsidRDefault="00A60439" w:rsidP="00AF07F1">
      <w:r>
        <w:continuationSeparator/>
      </w:r>
    </w:p>
  </w:endnote>
  <w:endnote w:type="continuationNotice" w:id="1">
    <w:p w14:paraId="34AFF3F4" w14:textId="77777777" w:rsidR="00A60439" w:rsidRDefault="00A60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9DCE" w14:textId="77777777" w:rsidR="00241328" w:rsidRDefault="00241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A691" w14:textId="77777777" w:rsidR="00F70334" w:rsidRPr="00AF07F1" w:rsidRDefault="00F70334" w:rsidP="00FB736C">
    <w:pPr>
      <w:pStyle w:val="Default"/>
    </w:pPr>
  </w:p>
  <w:p w14:paraId="502734AF" w14:textId="3BB26540" w:rsidR="00972450" w:rsidRPr="005656E0" w:rsidRDefault="005656E0" w:rsidP="28EACE75">
    <w:pPr>
      <w:pStyle w:val="Footer"/>
      <w:jc w:val="center"/>
      <w:rPr>
        <w:rFonts w:ascii="Aptos" w:eastAsiaTheme="minorEastAsia" w:hAnsi="Aptos" w:cs="Calibri"/>
        <w:color w:val="000000"/>
        <w:sz w:val="18"/>
        <w:szCs w:val="18"/>
        <w:lang w:val="en-GB" w:eastAsia="en-US"/>
      </w:rPr>
    </w:pPr>
    <w:r>
      <w:rPr>
        <w:rFonts w:ascii="Aptos" w:eastAsiaTheme="minorEastAsia" w:hAnsi="Aptos" w:cs="Calibri"/>
        <w:b/>
        <w:bCs/>
        <w:color w:val="000000" w:themeColor="text1"/>
        <w:sz w:val="18"/>
        <w:szCs w:val="18"/>
      </w:rPr>
      <w:t>Translated</w:t>
    </w:r>
    <w:r w:rsidR="28EACE75" w:rsidRPr="000C6770">
      <w:rPr>
        <w:rFonts w:ascii="Aptos" w:eastAsiaTheme="minorEastAsia" w:hAnsi="Aptos" w:cs="Calibri"/>
        <w:b/>
        <w:bCs/>
        <w:color w:val="000000" w:themeColor="text1"/>
        <w:sz w:val="18"/>
        <w:szCs w:val="18"/>
      </w:rPr>
      <w:t xml:space="preserve">: </w:t>
    </w:r>
    <w:r w:rsidR="001D75DA">
      <w:rPr>
        <w:rFonts w:ascii="Aptos" w:eastAsiaTheme="minorEastAsia" w:hAnsi="Aptos" w:cs="Calibri"/>
        <w:color w:val="000000" w:themeColor="text1"/>
        <w:sz w:val="18"/>
        <w:szCs w:val="18"/>
      </w:rPr>
      <w:t xml:space="preserve">EMPRESS, </w:t>
    </w:r>
    <w:r>
      <w:rPr>
        <w:rFonts w:ascii="Aptos" w:eastAsiaTheme="minorEastAsia" w:hAnsi="Aptos" w:cs="Calibri"/>
        <w:color w:val="000000" w:themeColor="text1"/>
        <w:sz w:val="18"/>
        <w:szCs w:val="18"/>
      </w:rPr>
      <w:t>Information sheet - relative</w:t>
    </w:r>
    <w:r w:rsidR="001D75DA">
      <w:rPr>
        <w:rFonts w:ascii="Aptos" w:eastAsiaTheme="minorEastAsia" w:hAnsi="Aptos" w:cs="Calibri"/>
        <w:color w:val="000000" w:themeColor="text1"/>
        <w:sz w:val="18"/>
        <w:szCs w:val="18"/>
      </w:rPr>
      <w:t xml:space="preserve"> </w:t>
    </w:r>
    <w:r w:rsidR="28EACE75" w:rsidRPr="000C6770">
      <w:rPr>
        <w:rFonts w:ascii="Aptos" w:eastAsiaTheme="minorEastAsia" w:hAnsi="Aptos" w:cs="Calibri"/>
        <w:color w:val="000000" w:themeColor="text1"/>
        <w:sz w:val="18"/>
        <w:szCs w:val="18"/>
      </w:rPr>
      <w:t xml:space="preserve">– </w:t>
    </w:r>
    <w:r w:rsidR="001D75DA">
      <w:rPr>
        <w:rFonts w:ascii="Aptos" w:eastAsiaTheme="minorEastAsia" w:hAnsi="Aptos" w:cs="Calibri"/>
        <w:color w:val="000000" w:themeColor="text1"/>
        <w:sz w:val="18"/>
        <w:szCs w:val="18"/>
      </w:rPr>
      <w:t>V</w:t>
    </w:r>
    <w:r w:rsidR="28EACE75" w:rsidRPr="000C6770">
      <w:rPr>
        <w:rFonts w:ascii="Aptos" w:eastAsiaTheme="minorEastAsia" w:hAnsi="Aptos" w:cs="Calibri"/>
        <w:color w:val="000000" w:themeColor="text1"/>
        <w:sz w:val="18"/>
        <w:szCs w:val="18"/>
      </w:rPr>
      <w:t xml:space="preserve">ersion 1.1, </w:t>
    </w:r>
    <w:r w:rsidR="000C6770">
      <w:rPr>
        <w:rFonts w:ascii="Aptos" w:eastAsiaTheme="minorEastAsia" w:hAnsi="Aptos" w:cs="Calibri"/>
        <w:color w:val="000000" w:themeColor="text1"/>
        <w:sz w:val="18"/>
        <w:szCs w:val="18"/>
      </w:rPr>
      <w:t>25.09.2025</w:t>
    </w:r>
    <w:r w:rsidR="28EACE75" w:rsidRPr="000C6770">
      <w:rPr>
        <w:rFonts w:ascii="Aptos" w:eastAsiaTheme="minorEastAsia" w:hAnsi="Aptos" w:cs="Calibri"/>
        <w:color w:val="000000" w:themeColor="text1"/>
        <w:sz w:val="18"/>
        <w:szCs w:val="18"/>
      </w:rPr>
      <w:t xml:space="preserve"> </w:t>
    </w:r>
  </w:p>
  <w:p w14:paraId="0B1D0235" w14:textId="0383ACCA" w:rsidR="00972450" w:rsidRPr="000C6770" w:rsidRDefault="005656E0" w:rsidP="28EACE75">
    <w:pPr>
      <w:pStyle w:val="Footer"/>
      <w:jc w:val="center"/>
      <w:rPr>
        <w:rFonts w:ascii="Aptos" w:eastAsiaTheme="minorEastAsia" w:hAnsi="Aptos" w:cs="Calibri"/>
        <w:color w:val="000000" w:themeColor="text1"/>
        <w:sz w:val="18"/>
        <w:szCs w:val="18"/>
        <w:lang w:val="da-DK"/>
      </w:rPr>
    </w:pPr>
    <w:r>
      <w:rPr>
        <w:rFonts w:ascii="Aptos" w:eastAsiaTheme="minorEastAsia" w:hAnsi="Aptos" w:cs="Calibri"/>
        <w:b/>
        <w:bCs/>
        <w:color w:val="000000" w:themeColor="text1"/>
        <w:sz w:val="18"/>
        <w:szCs w:val="18"/>
      </w:rPr>
      <w:t>Language</w:t>
    </w:r>
    <w:r w:rsidR="28EACE75" w:rsidRPr="000C6770">
      <w:rPr>
        <w:rFonts w:ascii="Aptos" w:eastAsiaTheme="minorEastAsia" w:hAnsi="Aptos" w:cs="Calibri"/>
        <w:b/>
        <w:bCs/>
        <w:color w:val="000000" w:themeColor="text1"/>
        <w:sz w:val="18"/>
        <w:szCs w:val="18"/>
      </w:rPr>
      <w:t xml:space="preserve">: </w:t>
    </w:r>
    <w:r w:rsidR="28EACE75" w:rsidRPr="000C6770">
      <w:rPr>
        <w:rFonts w:ascii="Aptos" w:eastAsiaTheme="minorEastAsia" w:hAnsi="Aptos" w:cs="Calibri"/>
        <w:color w:val="000000" w:themeColor="text1"/>
        <w:sz w:val="18"/>
        <w:szCs w:val="18"/>
      </w:rPr>
      <w:t>I</w:t>
    </w:r>
    <w:r>
      <w:rPr>
        <w:rFonts w:ascii="Aptos" w:eastAsiaTheme="minorEastAsia" w:hAnsi="Aptos" w:cs="Calibri"/>
        <w:color w:val="000000" w:themeColor="text1"/>
        <w:sz w:val="18"/>
        <w:szCs w:val="18"/>
      </w:rPr>
      <w:t>talian</w:t>
    </w:r>
  </w:p>
  <w:p w14:paraId="60593B17" w14:textId="6C9CA307" w:rsidR="00F70334" w:rsidRPr="00087562" w:rsidRDefault="00F70334" w:rsidP="28EACE75">
    <w:pPr>
      <w:pStyle w:val="Header"/>
      <w:jc w:val="right"/>
      <w:rPr>
        <w:rFonts w:asciiTheme="minorHAnsi" w:hAnsiTheme="minorHAnsi" w:cstheme="minorBid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2739" w14:textId="77777777" w:rsidR="00241328" w:rsidRDefault="002413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F03" w14:textId="77777777" w:rsidR="00FB736C" w:rsidRPr="00AF07F1" w:rsidRDefault="00FB736C" w:rsidP="00FB736C">
    <w:pPr>
      <w:pStyle w:val="Default"/>
    </w:pPr>
  </w:p>
  <w:p w14:paraId="5D0D07CB" w14:textId="39DFEAD6" w:rsidR="00FB736C" w:rsidRPr="00F70334" w:rsidRDefault="28EACE75" w:rsidP="28EACE75">
    <w:pPr>
      <w:pStyle w:val="BodyText"/>
      <w:jc w:val="right"/>
      <w:rPr>
        <w:rFonts w:asciiTheme="minorHAnsi" w:eastAsiaTheme="minorEastAsia" w:hAnsiTheme="minorHAnsi" w:cstheme="minorBidi"/>
        <w:b/>
        <w:bCs/>
        <w:color w:val="000000"/>
        <w:sz w:val="18"/>
        <w:szCs w:val="18"/>
        <w:lang w:val="en-US" w:eastAsia="en-US"/>
      </w:rPr>
    </w:pPr>
    <w:r w:rsidRPr="28EACE75">
      <w:rPr>
        <w:rFonts w:asciiTheme="minorHAnsi" w:eastAsiaTheme="minorEastAsia" w:hAnsiTheme="minorHAnsi" w:cstheme="minorBidi"/>
        <w:b/>
        <w:bCs/>
        <w:color w:val="000000" w:themeColor="text1"/>
        <w:sz w:val="18"/>
        <w:szCs w:val="18"/>
      </w:rPr>
      <w:t xml:space="preserve">Information about participation in a scientific study to the relatives </w:t>
    </w:r>
  </w:p>
  <w:p w14:paraId="57F0F18D" w14:textId="7F120A54" w:rsidR="00FB736C" w:rsidRPr="00F70334" w:rsidRDefault="28EACE75" w:rsidP="28EACE75">
    <w:pPr>
      <w:pStyle w:val="BodyText"/>
      <w:jc w:val="right"/>
      <w:rPr>
        <w:rFonts w:asciiTheme="minorHAnsi" w:hAnsiTheme="minorHAnsi" w:cstheme="minorBidi"/>
        <w:sz w:val="18"/>
        <w:szCs w:val="18"/>
        <w:lang w:val="en-US"/>
      </w:rPr>
    </w:pPr>
    <w:r w:rsidRPr="28EACE75">
      <w:rPr>
        <w:rFonts w:asciiTheme="minorHAnsi" w:hAnsiTheme="minorHAnsi" w:cstheme="minorBidi"/>
        <w:sz w:val="18"/>
        <w:szCs w:val="18"/>
      </w:rPr>
      <w:t>Empirical meropenem versus piperacillin/tazobactam to adult patients with sepsis</w:t>
    </w:r>
  </w:p>
  <w:p w14:paraId="22674E4E" w14:textId="50D35FEB" w:rsidR="00FB736C" w:rsidRPr="00F70334" w:rsidRDefault="28EACE75" w:rsidP="00FB736C">
    <w:pPr>
      <w:pStyle w:val="Header"/>
      <w:jc w:val="right"/>
      <w:rPr>
        <w:lang w:val="en-US"/>
      </w:rPr>
    </w:pPr>
    <w:r w:rsidRPr="28EACE75">
      <w:rPr>
        <w:rFonts w:ascii="Calibri" w:eastAsiaTheme="minorEastAsia" w:hAnsi="Calibri" w:cs="Calibri"/>
        <w:color w:val="000000" w:themeColor="text1"/>
        <w:sz w:val="18"/>
        <w:szCs w:val="18"/>
      </w:rPr>
      <w:t>March 1, 2024, 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32E9E" w14:textId="77777777" w:rsidR="00A60439" w:rsidRDefault="00A60439" w:rsidP="00AF07F1">
      <w:r>
        <w:separator/>
      </w:r>
    </w:p>
  </w:footnote>
  <w:footnote w:type="continuationSeparator" w:id="0">
    <w:p w14:paraId="0E48D535" w14:textId="77777777" w:rsidR="00A60439" w:rsidRDefault="00A60439" w:rsidP="00AF07F1">
      <w:r>
        <w:continuationSeparator/>
      </w:r>
    </w:p>
  </w:footnote>
  <w:footnote w:type="continuationNotice" w:id="1">
    <w:p w14:paraId="6CBAE2B6" w14:textId="77777777" w:rsidR="00A60439" w:rsidRDefault="00A60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B8EC" w14:textId="77777777" w:rsidR="00241328" w:rsidRDefault="00241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2641" w14:textId="77777777" w:rsidR="00F70334" w:rsidRPr="00E36091" w:rsidRDefault="00F70334"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6BA90800" wp14:editId="4EA4D2C6">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A6153" w14:textId="77777777" w:rsidR="00241328" w:rsidRDefault="002413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IPFygg31z8/yI+" int2:id="YhET4J6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77464C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E4970DA"/>
    <w:multiLevelType w:val="hybridMultilevel"/>
    <w:tmpl w:val="4CFCD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53A214E"/>
    <w:multiLevelType w:val="hybridMultilevel"/>
    <w:tmpl w:val="E56AD4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0"/>
  </w:num>
  <w:num w:numId="2" w16cid:durableId="2027363915">
    <w:abstractNumId w:val="5"/>
  </w:num>
  <w:num w:numId="3" w16cid:durableId="324016391">
    <w:abstractNumId w:val="2"/>
  </w:num>
  <w:num w:numId="4" w16cid:durableId="592981955">
    <w:abstractNumId w:val="8"/>
  </w:num>
  <w:num w:numId="5" w16cid:durableId="2122915461">
    <w:abstractNumId w:val="1"/>
  </w:num>
  <w:num w:numId="6" w16cid:durableId="762149387">
    <w:abstractNumId w:val="0"/>
  </w:num>
  <w:num w:numId="7" w16cid:durableId="1657760343">
    <w:abstractNumId w:val="3"/>
  </w:num>
  <w:num w:numId="8" w16cid:durableId="1922788166">
    <w:abstractNumId w:val="4"/>
  </w:num>
  <w:num w:numId="9" w16cid:durableId="552497991">
    <w:abstractNumId w:val="9"/>
  </w:num>
  <w:num w:numId="10" w16cid:durableId="1366443587">
    <w:abstractNumId w:val="6"/>
  </w:num>
  <w:num w:numId="11" w16cid:durableId="1256985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3B7A"/>
    <w:rsid w:val="000047A2"/>
    <w:rsid w:val="00005B58"/>
    <w:rsid w:val="00007754"/>
    <w:rsid w:val="00012FBB"/>
    <w:rsid w:val="00017B03"/>
    <w:rsid w:val="00032912"/>
    <w:rsid w:val="00042D77"/>
    <w:rsid w:val="0004783F"/>
    <w:rsid w:val="00047882"/>
    <w:rsid w:val="000502AD"/>
    <w:rsid w:val="0006591B"/>
    <w:rsid w:val="00074674"/>
    <w:rsid w:val="000813E3"/>
    <w:rsid w:val="0009071B"/>
    <w:rsid w:val="00091B48"/>
    <w:rsid w:val="00096EEB"/>
    <w:rsid w:val="000A078B"/>
    <w:rsid w:val="000B47D2"/>
    <w:rsid w:val="000C6770"/>
    <w:rsid w:val="00116160"/>
    <w:rsid w:val="00124F4C"/>
    <w:rsid w:val="00125500"/>
    <w:rsid w:val="00136E5F"/>
    <w:rsid w:val="001373D9"/>
    <w:rsid w:val="0015260A"/>
    <w:rsid w:val="001527FF"/>
    <w:rsid w:val="00161625"/>
    <w:rsid w:val="00162161"/>
    <w:rsid w:val="00162BFC"/>
    <w:rsid w:val="00164804"/>
    <w:rsid w:val="00174F90"/>
    <w:rsid w:val="00185A33"/>
    <w:rsid w:val="001933F8"/>
    <w:rsid w:val="001964DC"/>
    <w:rsid w:val="001A0009"/>
    <w:rsid w:val="001B40A8"/>
    <w:rsid w:val="001B68E9"/>
    <w:rsid w:val="001C18B7"/>
    <w:rsid w:val="001C5005"/>
    <w:rsid w:val="001D1867"/>
    <w:rsid w:val="001D2DDF"/>
    <w:rsid w:val="001D75DA"/>
    <w:rsid w:val="001F2818"/>
    <w:rsid w:val="00202CEA"/>
    <w:rsid w:val="0020474D"/>
    <w:rsid w:val="00207013"/>
    <w:rsid w:val="00214BD2"/>
    <w:rsid w:val="00233A93"/>
    <w:rsid w:val="002371AA"/>
    <w:rsid w:val="00241328"/>
    <w:rsid w:val="00241944"/>
    <w:rsid w:val="00243B55"/>
    <w:rsid w:val="002469A9"/>
    <w:rsid w:val="002500BB"/>
    <w:rsid w:val="002501BC"/>
    <w:rsid w:val="00281F82"/>
    <w:rsid w:val="002877AD"/>
    <w:rsid w:val="00295277"/>
    <w:rsid w:val="00295CEA"/>
    <w:rsid w:val="002A1B4A"/>
    <w:rsid w:val="002A274E"/>
    <w:rsid w:val="002A38BA"/>
    <w:rsid w:val="002B0DD8"/>
    <w:rsid w:val="002B12DD"/>
    <w:rsid w:val="002B1CAA"/>
    <w:rsid w:val="002B434B"/>
    <w:rsid w:val="002C5991"/>
    <w:rsid w:val="002E279D"/>
    <w:rsid w:val="002E6B52"/>
    <w:rsid w:val="002F5604"/>
    <w:rsid w:val="00301116"/>
    <w:rsid w:val="00331F72"/>
    <w:rsid w:val="00335AC8"/>
    <w:rsid w:val="00354A55"/>
    <w:rsid w:val="00371435"/>
    <w:rsid w:val="003844C9"/>
    <w:rsid w:val="00392669"/>
    <w:rsid w:val="003A0D7B"/>
    <w:rsid w:val="003A0DB9"/>
    <w:rsid w:val="003A268C"/>
    <w:rsid w:val="003A4B3A"/>
    <w:rsid w:val="003D3F58"/>
    <w:rsid w:val="003E024C"/>
    <w:rsid w:val="003E68AF"/>
    <w:rsid w:val="003F5C42"/>
    <w:rsid w:val="00407EA3"/>
    <w:rsid w:val="00417C07"/>
    <w:rsid w:val="00422ED8"/>
    <w:rsid w:val="00426886"/>
    <w:rsid w:val="00433796"/>
    <w:rsid w:val="00461EF7"/>
    <w:rsid w:val="004710CF"/>
    <w:rsid w:val="004769C4"/>
    <w:rsid w:val="004A3DB1"/>
    <w:rsid w:val="004B51BD"/>
    <w:rsid w:val="004C3804"/>
    <w:rsid w:val="004C44BC"/>
    <w:rsid w:val="004D046F"/>
    <w:rsid w:val="004D64EC"/>
    <w:rsid w:val="004E25C4"/>
    <w:rsid w:val="004E6BBB"/>
    <w:rsid w:val="004F2F28"/>
    <w:rsid w:val="00500A5F"/>
    <w:rsid w:val="00512AB5"/>
    <w:rsid w:val="00524573"/>
    <w:rsid w:val="005270F6"/>
    <w:rsid w:val="005459ED"/>
    <w:rsid w:val="005473D7"/>
    <w:rsid w:val="005656E0"/>
    <w:rsid w:val="00567CD1"/>
    <w:rsid w:val="00571DA7"/>
    <w:rsid w:val="005737A5"/>
    <w:rsid w:val="005776C8"/>
    <w:rsid w:val="00577B8C"/>
    <w:rsid w:val="00581933"/>
    <w:rsid w:val="00582BF2"/>
    <w:rsid w:val="0059043F"/>
    <w:rsid w:val="00590CF7"/>
    <w:rsid w:val="00591B06"/>
    <w:rsid w:val="005A165B"/>
    <w:rsid w:val="005B7036"/>
    <w:rsid w:val="005C641E"/>
    <w:rsid w:val="005E16F2"/>
    <w:rsid w:val="005F2AA5"/>
    <w:rsid w:val="005F6472"/>
    <w:rsid w:val="005F793C"/>
    <w:rsid w:val="00607CCB"/>
    <w:rsid w:val="006149D7"/>
    <w:rsid w:val="00620183"/>
    <w:rsid w:val="006256CC"/>
    <w:rsid w:val="00626A83"/>
    <w:rsid w:val="00634619"/>
    <w:rsid w:val="00643C29"/>
    <w:rsid w:val="006579D7"/>
    <w:rsid w:val="00671391"/>
    <w:rsid w:val="006818CD"/>
    <w:rsid w:val="00683650"/>
    <w:rsid w:val="00697303"/>
    <w:rsid w:val="006B785C"/>
    <w:rsid w:val="006C4184"/>
    <w:rsid w:val="006D415F"/>
    <w:rsid w:val="006D6C6D"/>
    <w:rsid w:val="006E1988"/>
    <w:rsid w:val="006E36D0"/>
    <w:rsid w:val="006F0552"/>
    <w:rsid w:val="006F7F00"/>
    <w:rsid w:val="00701C19"/>
    <w:rsid w:val="00702634"/>
    <w:rsid w:val="0070305A"/>
    <w:rsid w:val="0070539E"/>
    <w:rsid w:val="007124E3"/>
    <w:rsid w:val="00734EC0"/>
    <w:rsid w:val="0074162C"/>
    <w:rsid w:val="00763C1D"/>
    <w:rsid w:val="007647C7"/>
    <w:rsid w:val="00776756"/>
    <w:rsid w:val="00784060"/>
    <w:rsid w:val="007914AA"/>
    <w:rsid w:val="007A190D"/>
    <w:rsid w:val="007A652A"/>
    <w:rsid w:val="007B45FE"/>
    <w:rsid w:val="007D2A48"/>
    <w:rsid w:val="007D4226"/>
    <w:rsid w:val="007D693C"/>
    <w:rsid w:val="007E7B25"/>
    <w:rsid w:val="00802B15"/>
    <w:rsid w:val="00816053"/>
    <w:rsid w:val="00826C0B"/>
    <w:rsid w:val="00834CAE"/>
    <w:rsid w:val="00843A4D"/>
    <w:rsid w:val="008452C5"/>
    <w:rsid w:val="00875D37"/>
    <w:rsid w:val="00876E26"/>
    <w:rsid w:val="0088016F"/>
    <w:rsid w:val="00883CE9"/>
    <w:rsid w:val="008919EE"/>
    <w:rsid w:val="008B2D3E"/>
    <w:rsid w:val="008D10E7"/>
    <w:rsid w:val="008F077B"/>
    <w:rsid w:val="008F550C"/>
    <w:rsid w:val="00920301"/>
    <w:rsid w:val="00923B01"/>
    <w:rsid w:val="00923EE8"/>
    <w:rsid w:val="00930F38"/>
    <w:rsid w:val="00935C4F"/>
    <w:rsid w:val="00936F93"/>
    <w:rsid w:val="00946DAB"/>
    <w:rsid w:val="00957ED9"/>
    <w:rsid w:val="00972450"/>
    <w:rsid w:val="0097348C"/>
    <w:rsid w:val="00993BDD"/>
    <w:rsid w:val="00995B21"/>
    <w:rsid w:val="009B122B"/>
    <w:rsid w:val="009B519F"/>
    <w:rsid w:val="009B528B"/>
    <w:rsid w:val="009B53D9"/>
    <w:rsid w:val="009C0337"/>
    <w:rsid w:val="009C2349"/>
    <w:rsid w:val="009C2381"/>
    <w:rsid w:val="009C44F7"/>
    <w:rsid w:val="009F12E2"/>
    <w:rsid w:val="009F3AC2"/>
    <w:rsid w:val="00A02F34"/>
    <w:rsid w:val="00A0676D"/>
    <w:rsid w:val="00A25B77"/>
    <w:rsid w:val="00A26FEA"/>
    <w:rsid w:val="00A37855"/>
    <w:rsid w:val="00A4204C"/>
    <w:rsid w:val="00A52FC2"/>
    <w:rsid w:val="00A55039"/>
    <w:rsid w:val="00A60439"/>
    <w:rsid w:val="00A630B3"/>
    <w:rsid w:val="00A757CD"/>
    <w:rsid w:val="00A75EAB"/>
    <w:rsid w:val="00A9070A"/>
    <w:rsid w:val="00A910EE"/>
    <w:rsid w:val="00AA0C2F"/>
    <w:rsid w:val="00AC00F4"/>
    <w:rsid w:val="00AC09F4"/>
    <w:rsid w:val="00AC5400"/>
    <w:rsid w:val="00AF07F1"/>
    <w:rsid w:val="00B07C83"/>
    <w:rsid w:val="00B1033A"/>
    <w:rsid w:val="00B312E4"/>
    <w:rsid w:val="00B421FE"/>
    <w:rsid w:val="00B45CB9"/>
    <w:rsid w:val="00B51E09"/>
    <w:rsid w:val="00B529C0"/>
    <w:rsid w:val="00B5529E"/>
    <w:rsid w:val="00B620CB"/>
    <w:rsid w:val="00B65130"/>
    <w:rsid w:val="00B87DCC"/>
    <w:rsid w:val="00B953D2"/>
    <w:rsid w:val="00BA12E4"/>
    <w:rsid w:val="00BA138A"/>
    <w:rsid w:val="00BA61AB"/>
    <w:rsid w:val="00BB4FA3"/>
    <w:rsid w:val="00BC232C"/>
    <w:rsid w:val="00BC6479"/>
    <w:rsid w:val="00BC7FB1"/>
    <w:rsid w:val="00BD7BF2"/>
    <w:rsid w:val="00BE2E51"/>
    <w:rsid w:val="00BE5F84"/>
    <w:rsid w:val="00BF2818"/>
    <w:rsid w:val="00C025DF"/>
    <w:rsid w:val="00C02622"/>
    <w:rsid w:val="00C02FFA"/>
    <w:rsid w:val="00C05FB3"/>
    <w:rsid w:val="00C14BFE"/>
    <w:rsid w:val="00C25694"/>
    <w:rsid w:val="00C27403"/>
    <w:rsid w:val="00C326BF"/>
    <w:rsid w:val="00C53122"/>
    <w:rsid w:val="00C62B7C"/>
    <w:rsid w:val="00C810DA"/>
    <w:rsid w:val="00C97FAC"/>
    <w:rsid w:val="00CA0E2A"/>
    <w:rsid w:val="00CA41B2"/>
    <w:rsid w:val="00CB329F"/>
    <w:rsid w:val="00CF0076"/>
    <w:rsid w:val="00D16DB8"/>
    <w:rsid w:val="00D40281"/>
    <w:rsid w:val="00D4569E"/>
    <w:rsid w:val="00D54643"/>
    <w:rsid w:val="00D55839"/>
    <w:rsid w:val="00D562F0"/>
    <w:rsid w:val="00D66301"/>
    <w:rsid w:val="00D857CD"/>
    <w:rsid w:val="00D94F34"/>
    <w:rsid w:val="00D97987"/>
    <w:rsid w:val="00DB0F0D"/>
    <w:rsid w:val="00DC2630"/>
    <w:rsid w:val="00DC67A4"/>
    <w:rsid w:val="00DD0500"/>
    <w:rsid w:val="00DE2D70"/>
    <w:rsid w:val="00DE7F5E"/>
    <w:rsid w:val="00E2520A"/>
    <w:rsid w:val="00E36091"/>
    <w:rsid w:val="00E454B0"/>
    <w:rsid w:val="00E47602"/>
    <w:rsid w:val="00E5609D"/>
    <w:rsid w:val="00E57CE6"/>
    <w:rsid w:val="00E61832"/>
    <w:rsid w:val="00E83B8D"/>
    <w:rsid w:val="00E8517B"/>
    <w:rsid w:val="00E8730E"/>
    <w:rsid w:val="00EA6ABF"/>
    <w:rsid w:val="00EB1EDD"/>
    <w:rsid w:val="00EE1F22"/>
    <w:rsid w:val="00EE2113"/>
    <w:rsid w:val="00F04863"/>
    <w:rsid w:val="00F17199"/>
    <w:rsid w:val="00F21DCC"/>
    <w:rsid w:val="00F45311"/>
    <w:rsid w:val="00F50826"/>
    <w:rsid w:val="00F564E2"/>
    <w:rsid w:val="00F614C1"/>
    <w:rsid w:val="00F70334"/>
    <w:rsid w:val="00F72D7C"/>
    <w:rsid w:val="00F73E7B"/>
    <w:rsid w:val="00F91F31"/>
    <w:rsid w:val="00F972CD"/>
    <w:rsid w:val="00FA06E3"/>
    <w:rsid w:val="00FB27C8"/>
    <w:rsid w:val="00FB3298"/>
    <w:rsid w:val="00FB736C"/>
    <w:rsid w:val="00FC6638"/>
    <w:rsid w:val="00FD6677"/>
    <w:rsid w:val="00FE14A4"/>
    <w:rsid w:val="00FE2DD0"/>
    <w:rsid w:val="00FE4053"/>
    <w:rsid w:val="00FF2601"/>
    <w:rsid w:val="00FF3A2E"/>
    <w:rsid w:val="014BBF23"/>
    <w:rsid w:val="022C1B35"/>
    <w:rsid w:val="031A297A"/>
    <w:rsid w:val="03EAA313"/>
    <w:rsid w:val="0437D305"/>
    <w:rsid w:val="0862B477"/>
    <w:rsid w:val="087EB94A"/>
    <w:rsid w:val="09B7E4CA"/>
    <w:rsid w:val="0AB7F4E8"/>
    <w:rsid w:val="0BC328D9"/>
    <w:rsid w:val="0CAA2F5A"/>
    <w:rsid w:val="1040FCF8"/>
    <w:rsid w:val="10962B9E"/>
    <w:rsid w:val="160F6C5B"/>
    <w:rsid w:val="1797316C"/>
    <w:rsid w:val="183E2B4C"/>
    <w:rsid w:val="197845F4"/>
    <w:rsid w:val="19BD6C0C"/>
    <w:rsid w:val="19DC0B58"/>
    <w:rsid w:val="1C22F9E3"/>
    <w:rsid w:val="1CD63035"/>
    <w:rsid w:val="1F472B9F"/>
    <w:rsid w:val="20DAFF0E"/>
    <w:rsid w:val="21DC5B1F"/>
    <w:rsid w:val="223978F0"/>
    <w:rsid w:val="235FAEB0"/>
    <w:rsid w:val="2636CFDB"/>
    <w:rsid w:val="26510070"/>
    <w:rsid w:val="2698FE42"/>
    <w:rsid w:val="28EACE75"/>
    <w:rsid w:val="29C1BCE6"/>
    <w:rsid w:val="2D5766B2"/>
    <w:rsid w:val="2D99191B"/>
    <w:rsid w:val="2F4FBA9A"/>
    <w:rsid w:val="2FC31926"/>
    <w:rsid w:val="3204C2D7"/>
    <w:rsid w:val="33300320"/>
    <w:rsid w:val="35ABB6FB"/>
    <w:rsid w:val="37513A4F"/>
    <w:rsid w:val="37F78250"/>
    <w:rsid w:val="38480A01"/>
    <w:rsid w:val="38B7892B"/>
    <w:rsid w:val="38C6CBC4"/>
    <w:rsid w:val="39CDD1C5"/>
    <w:rsid w:val="3A5B3F5C"/>
    <w:rsid w:val="3E411471"/>
    <w:rsid w:val="3ECFBE37"/>
    <w:rsid w:val="41A5A6CA"/>
    <w:rsid w:val="42922789"/>
    <w:rsid w:val="47361A89"/>
    <w:rsid w:val="47B9C051"/>
    <w:rsid w:val="4901690D"/>
    <w:rsid w:val="4B6C503C"/>
    <w:rsid w:val="4C3909CF"/>
    <w:rsid w:val="4E8AFB47"/>
    <w:rsid w:val="4F6ECB1A"/>
    <w:rsid w:val="4F8CBCE3"/>
    <w:rsid w:val="52939DE3"/>
    <w:rsid w:val="52F0D8AF"/>
    <w:rsid w:val="565ADF5D"/>
    <w:rsid w:val="56B9B39F"/>
    <w:rsid w:val="56E8FD18"/>
    <w:rsid w:val="57C81DB0"/>
    <w:rsid w:val="5871412A"/>
    <w:rsid w:val="5A64E55D"/>
    <w:rsid w:val="5AFA3D23"/>
    <w:rsid w:val="5B53E2C2"/>
    <w:rsid w:val="5E6E7AC5"/>
    <w:rsid w:val="5EFA839E"/>
    <w:rsid w:val="626FC7EC"/>
    <w:rsid w:val="6347C583"/>
    <w:rsid w:val="683F3888"/>
    <w:rsid w:val="68535279"/>
    <w:rsid w:val="6D46ABA2"/>
    <w:rsid w:val="6DA41975"/>
    <w:rsid w:val="6E5417DB"/>
    <w:rsid w:val="6E984719"/>
    <w:rsid w:val="71DEB025"/>
    <w:rsid w:val="74E48D60"/>
    <w:rsid w:val="7576FD54"/>
    <w:rsid w:val="783E1021"/>
    <w:rsid w:val="7C9E8CEB"/>
    <w:rsid w:val="7F4592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8EACE75"/>
    <w:pPr>
      <w:spacing w:after="0"/>
    </w:pPr>
    <w:rPr>
      <w:rFonts w:ascii="Times New Roman" w:eastAsia="Times New Roman" w:hAnsi="Times New Roman" w:cs="Times New Roman"/>
      <w:sz w:val="24"/>
      <w:szCs w:val="24"/>
      <w:lang w:val="it-IT" w:eastAsia="da-DK"/>
    </w:rPr>
  </w:style>
  <w:style w:type="paragraph" w:styleId="Heading1">
    <w:name w:val="heading 1"/>
    <w:basedOn w:val="Normal"/>
    <w:next w:val="Normal"/>
    <w:link w:val="Heading1Char"/>
    <w:uiPriority w:val="1"/>
    <w:qFormat/>
    <w:rsid w:val="28EACE75"/>
    <w:pPr>
      <w:keepNext/>
      <w:outlineLvl w:val="0"/>
    </w:pPr>
    <w:rPr>
      <w:rFonts w:ascii="Arial" w:hAnsi="Arial" w:cs="Arial"/>
      <w:b/>
      <w:bCs/>
      <w:sz w:val="22"/>
      <w:szCs w:val="22"/>
    </w:rPr>
  </w:style>
  <w:style w:type="paragraph" w:styleId="Heading2">
    <w:name w:val="heading 2"/>
    <w:basedOn w:val="Normal"/>
    <w:next w:val="Normal"/>
    <w:link w:val="Heading2Char"/>
    <w:uiPriority w:val="1"/>
    <w:qFormat/>
    <w:rsid w:val="28EACE75"/>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28EACE75"/>
    <w:pPr>
      <w:keepNext/>
      <w:keepLines/>
      <w:spacing w:before="40"/>
      <w:outlineLvl w:val="2"/>
    </w:pPr>
    <w:rPr>
      <w:rFonts w:asciiTheme="majorHAnsi" w:eastAsiaTheme="majorEastAsia" w:hAnsiTheme="majorHAnsi" w:cstheme="majorBid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semiHidden/>
    <w:rsid w:val="28EACE75"/>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uiPriority w:val="1"/>
    <w:semiHidden/>
    <w:rsid w:val="28EACE75"/>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uiPriority w:val="1"/>
    <w:rsid w:val="28EACE75"/>
    <w:pPr>
      <w:spacing w:line="260" w:lineRule="atLeast"/>
    </w:pPr>
    <w:rPr>
      <w:sz w:val="22"/>
      <w:szCs w:val="22"/>
      <w:lang w:eastAsia="en-US"/>
    </w:rPr>
  </w:style>
  <w:style w:type="paragraph" w:styleId="Header">
    <w:name w:val="header"/>
    <w:basedOn w:val="Normal"/>
    <w:link w:val="HeaderChar"/>
    <w:uiPriority w:val="99"/>
    <w:unhideWhenUsed/>
    <w:rsid w:val="28EACE75"/>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28EACE75"/>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28EACE75"/>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28EACE75"/>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semiHidden/>
    <w:unhideWhenUsed/>
    <w:rsid w:val="28EACE75"/>
    <w:pPr>
      <w:spacing w:beforeAutospacing="1" w:afterAutospacing="1"/>
    </w:pPr>
  </w:style>
  <w:style w:type="paragraph" w:customStyle="1" w:styleId="xmsonormal">
    <w:name w:val="x_msonormal"/>
    <w:basedOn w:val="Normal"/>
    <w:uiPriority w:val="1"/>
    <w:rsid w:val="28EACE75"/>
    <w:pPr>
      <w:spacing w:beforeAutospacing="1"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28EACE75"/>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28EACE75"/>
    <w:pPr>
      <w:numPr>
        <w:numId w:val="5"/>
      </w:numPr>
      <w:contextualSpacing/>
    </w:pPr>
  </w:style>
  <w:style w:type="paragraph" w:styleId="ListNumber">
    <w:name w:val="List Number"/>
    <w:basedOn w:val="Normal"/>
    <w:uiPriority w:val="99"/>
    <w:semiHidden/>
    <w:unhideWhenUsed/>
    <w:rsid w:val="28EACE75"/>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 w:id="14782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1813</Words>
  <Characters>10338</Characters>
  <Application>Microsoft Office Word</Application>
  <DocSecurity>0</DocSecurity>
  <Lines>86</Lines>
  <Paragraphs>24</Paragraphs>
  <ScaleCrop>false</ScaleCrop>
  <Company>Region Hovedstaden</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5</cp:revision>
  <cp:lastPrinted>2020-03-29T20:46:00Z</cp:lastPrinted>
  <dcterms:created xsi:type="dcterms:W3CDTF">2026-04-21T07:17:00Z</dcterms:created>
  <dcterms:modified xsi:type="dcterms:W3CDTF">2026-04-21T07:47:00Z</dcterms:modified>
</cp:coreProperties>
</file>