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C9DEB" w14:textId="79C3376E" w:rsidR="00D93D4B" w:rsidRDefault="00D93D4B" w:rsidP="00D93D4B">
      <w:pPr>
        <w:bidi/>
        <w:jc w:val="center"/>
        <w:rPr>
          <w:b/>
          <w:bCs/>
        </w:rPr>
      </w:pPr>
      <w:r w:rsidRPr="00FD07A9">
        <w:rPr>
          <w:noProof/>
        </w:rPr>
        <w:drawing>
          <wp:inline distT="0" distB="0" distL="0" distR="0" wp14:anchorId="513268DA" wp14:editId="15ED50A2">
            <wp:extent cx="1472540" cy="474958"/>
            <wp:effectExtent l="0" t="0" r="0" b="1905"/>
            <wp:docPr id="269476649"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9772" cy="480516"/>
                    </a:xfrm>
                    <a:prstGeom prst="rect">
                      <a:avLst/>
                    </a:prstGeom>
                    <a:noFill/>
                    <a:ln>
                      <a:noFill/>
                    </a:ln>
                  </pic:spPr>
                </pic:pic>
              </a:graphicData>
            </a:graphic>
          </wp:inline>
        </w:drawing>
      </w:r>
    </w:p>
    <w:p w14:paraId="25E470F1" w14:textId="37BFC153" w:rsidR="00D93D4B" w:rsidRPr="00D93D4B" w:rsidRDefault="00D93D4B" w:rsidP="00D93D4B">
      <w:pPr>
        <w:bidi/>
      </w:pPr>
    </w:p>
    <w:p w14:paraId="47CDA49E" w14:textId="248EDD44" w:rsidR="00D93D4B" w:rsidRPr="00D93D4B" w:rsidRDefault="00D93D4B" w:rsidP="00D93D4B">
      <w:pPr>
        <w:bidi/>
        <w:rPr>
          <w:b/>
          <w:bCs/>
          <w:sz w:val="36"/>
          <w:szCs w:val="36"/>
          <w:u w:val="single"/>
        </w:rPr>
      </w:pPr>
      <w:r w:rsidRPr="00D93D4B">
        <w:rPr>
          <w:b/>
          <w:bCs/>
          <w:sz w:val="36"/>
          <w:szCs w:val="36"/>
          <w:u w:val="single"/>
          <w:rtl/>
        </w:rPr>
        <w:t>إلى الأقارب</w:t>
      </w:r>
    </w:p>
    <w:p w14:paraId="77ED3BE5" w14:textId="77777777" w:rsidR="00D93D4B" w:rsidRDefault="00D93D4B" w:rsidP="00D93D4B">
      <w:pPr>
        <w:bidi/>
        <w:rPr>
          <w:b/>
          <w:bCs/>
        </w:rPr>
      </w:pPr>
    </w:p>
    <w:p w14:paraId="37311DC9" w14:textId="6CE3BD97" w:rsidR="00D93D4B" w:rsidRPr="00D93D4B" w:rsidRDefault="00D93D4B" w:rsidP="00D93D4B">
      <w:pPr>
        <w:bidi/>
      </w:pPr>
      <w:r w:rsidRPr="00D93D4B">
        <w:rPr>
          <w:b/>
          <w:bCs/>
          <w:rtl/>
        </w:rPr>
        <w:t>معلومات حول المشاركة في تجربة علمية للمرضى المنوّمين المصابين بالإنتان والحالة الحرجة</w:t>
      </w:r>
    </w:p>
    <w:p w14:paraId="7250806F" w14:textId="510B5822" w:rsidR="00D93D4B" w:rsidRPr="00D93D4B" w:rsidRDefault="00D93D4B" w:rsidP="00D93D4B">
      <w:pPr>
        <w:bidi/>
      </w:pPr>
      <w:r w:rsidRPr="00D93D4B">
        <w:rPr>
          <w:rtl/>
        </w:rPr>
        <w:t>رقم التجربة في الاتحاد الأوروبي</w:t>
      </w:r>
      <w:r w:rsidRPr="00D93D4B">
        <w:t xml:space="preserve"> (EU CT): 2023-509703-33-00</w:t>
      </w:r>
      <w:r>
        <w:t xml:space="preserve"> </w:t>
      </w:r>
    </w:p>
    <w:p w14:paraId="35987212" w14:textId="77777777" w:rsidR="00D93D4B" w:rsidRDefault="00D93D4B" w:rsidP="00D93D4B">
      <w:pPr>
        <w:bidi/>
        <w:rPr>
          <w:b/>
          <w:bCs/>
        </w:rPr>
      </w:pPr>
    </w:p>
    <w:p w14:paraId="155C090E" w14:textId="2CBEFA63" w:rsidR="00D93D4B" w:rsidRPr="00E45ED6" w:rsidRDefault="00D93D4B" w:rsidP="00D93D4B">
      <w:pPr>
        <w:bidi/>
        <w:rPr>
          <w:b/>
          <w:bCs/>
          <w:lang w:val="en-US"/>
        </w:rPr>
      </w:pPr>
      <w:r w:rsidRPr="00D93D4B">
        <w:rPr>
          <w:b/>
          <w:bCs/>
          <w:rtl/>
        </w:rPr>
        <w:t>عنوان الدراسة</w:t>
      </w:r>
      <w:r w:rsidRPr="00E45ED6">
        <w:rPr>
          <w:b/>
          <w:bCs/>
          <w:lang w:val="en-US"/>
        </w:rPr>
        <w:t>:</w:t>
      </w:r>
      <w:r w:rsidRPr="00E45ED6">
        <w:rPr>
          <w:lang w:val="en-US"/>
        </w:rPr>
        <w:br/>
        <w:t>Empirical meropenem vs piperacillin/tazobactam for adult patients with sepsis</w:t>
      </w:r>
    </w:p>
    <w:p w14:paraId="6B56B093" w14:textId="77777777" w:rsidR="00D93D4B" w:rsidRPr="00E45ED6" w:rsidRDefault="00D93D4B" w:rsidP="00D93D4B">
      <w:pPr>
        <w:bidi/>
        <w:rPr>
          <w:b/>
          <w:bCs/>
          <w:lang w:val="en-US"/>
        </w:rPr>
      </w:pPr>
    </w:p>
    <w:p w14:paraId="06D412C4" w14:textId="3FBE64A7" w:rsidR="00D93D4B" w:rsidRPr="00E45ED6" w:rsidRDefault="00D93D4B" w:rsidP="00D93D4B">
      <w:pPr>
        <w:bidi/>
        <w:rPr>
          <w:lang w:val="en-US"/>
        </w:rPr>
      </w:pPr>
      <w:r w:rsidRPr="00D93D4B">
        <w:rPr>
          <w:b/>
          <w:bCs/>
          <w:rtl/>
        </w:rPr>
        <w:t>العنوان باللغة العربية</w:t>
      </w:r>
      <w:r w:rsidRPr="00E45ED6">
        <w:rPr>
          <w:b/>
          <w:bCs/>
          <w:lang w:val="en-US"/>
        </w:rPr>
        <w:t>:</w:t>
      </w:r>
      <w:r w:rsidRPr="00E45ED6">
        <w:rPr>
          <w:lang w:val="en-US"/>
        </w:rPr>
        <w:br/>
      </w:r>
      <w:r w:rsidRPr="00D93D4B">
        <w:rPr>
          <w:rtl/>
        </w:rPr>
        <w:t>ميروبينيم مقابل بيبيراسيلين/تازوباكتام للمرضى البالغين المصابين بالإنتان</w:t>
      </w:r>
    </w:p>
    <w:p w14:paraId="10E090EB" w14:textId="70ACFF01" w:rsidR="00D93D4B" w:rsidRPr="00E45ED6" w:rsidRDefault="00D93D4B" w:rsidP="00D93D4B">
      <w:pPr>
        <w:bidi/>
        <w:rPr>
          <w:lang w:val="en-US"/>
        </w:rPr>
      </w:pPr>
    </w:p>
    <w:p w14:paraId="12244531" w14:textId="77777777" w:rsidR="00D93D4B" w:rsidRPr="00E45ED6" w:rsidRDefault="00D93D4B" w:rsidP="00D93D4B">
      <w:pPr>
        <w:bidi/>
        <w:rPr>
          <w:b/>
          <w:bCs/>
          <w:lang w:val="en-US"/>
        </w:rPr>
      </w:pPr>
      <w:r w:rsidRPr="00D93D4B">
        <w:rPr>
          <w:b/>
          <w:bCs/>
          <w:rtl/>
        </w:rPr>
        <w:t>المقدمة</w:t>
      </w:r>
    </w:p>
    <w:p w14:paraId="147F16A9" w14:textId="77777777" w:rsidR="00D93D4B" w:rsidRPr="00E45ED6" w:rsidRDefault="00D93D4B" w:rsidP="00D93D4B">
      <w:pPr>
        <w:bidi/>
        <w:rPr>
          <w:lang w:val="en-US"/>
        </w:rPr>
      </w:pPr>
      <w:r w:rsidRPr="00D93D4B">
        <w:rPr>
          <w:rtl/>
        </w:rPr>
        <w:t>نود أن نسألك عمّا إذا كنت ترغب في إعطاء الإذن بمشاركة قريبك في تجربة علمية طبية. يعاني قريبك من عدوى شديدة. وبما أن قريبك غير قادر حاليًا على إعطاء موافقة بنفسه، فإننا نطلب منك أن تمنح موافقة بديلة نيابةً عنه على المشاركة في هذه التجربة العلمية</w:t>
      </w:r>
      <w:r w:rsidRPr="00E45ED6">
        <w:rPr>
          <w:lang w:val="en-US"/>
        </w:rPr>
        <w:t>.</w:t>
      </w:r>
    </w:p>
    <w:p w14:paraId="6A950B29" w14:textId="77777777" w:rsidR="00D93D4B" w:rsidRPr="00E45ED6" w:rsidRDefault="00D93D4B" w:rsidP="00D93D4B">
      <w:pPr>
        <w:bidi/>
        <w:rPr>
          <w:lang w:val="en-US"/>
        </w:rPr>
      </w:pPr>
      <w:r w:rsidRPr="00D93D4B">
        <w:rPr>
          <w:rtl/>
        </w:rPr>
        <w:t>بدأت التجربة خلال العلاج الحاد، لأن الحالة الحرجة لقريبك لم تسمح لنا بسؤاله مباشرة في ذلك الوقت. المشاركة في الدراسة طوعية تمامًا، ويمكنك الرفض دون أن يؤثر ذلك على العلاج الحالي أو المستقبلي لقريبك</w:t>
      </w:r>
      <w:r w:rsidRPr="00E45ED6">
        <w:rPr>
          <w:lang w:val="en-US"/>
        </w:rPr>
        <w:t>.</w:t>
      </w:r>
    </w:p>
    <w:p w14:paraId="72DA25D1" w14:textId="77777777" w:rsidR="00D93D4B" w:rsidRPr="00E45ED6" w:rsidRDefault="00D93D4B" w:rsidP="00D93D4B">
      <w:pPr>
        <w:bidi/>
        <w:rPr>
          <w:lang w:val="en-US"/>
        </w:rPr>
      </w:pPr>
      <w:r w:rsidRPr="00D93D4B">
        <w:rPr>
          <w:rtl/>
        </w:rPr>
        <w:t>قبل أن تقرر ما إذا كنت ستمنح الموافقة لقريبك على المشاركة، يجب أن تحصل على معلومات كافية حول ما تتضمنه الدراسة ولماذا نقوم بإجرائها. يرجى قراءة هذه الوثيقة بعناية. سيتم شرح هذه المعلومات لك شفهيًا، وستُتاح لك الفرصة لطرح الأسئلة، كما يمكنك إحضار أشخاص آخرين معك إلى هذه المحادثة إن رغبت</w:t>
      </w:r>
      <w:r w:rsidRPr="00E45ED6">
        <w:rPr>
          <w:lang w:val="en-US"/>
        </w:rPr>
        <w:t>.</w:t>
      </w:r>
    </w:p>
    <w:p w14:paraId="35E9C1C8" w14:textId="77777777" w:rsidR="00D93D4B" w:rsidRPr="00E45ED6" w:rsidRDefault="00D93D4B" w:rsidP="00D93D4B">
      <w:pPr>
        <w:bidi/>
        <w:rPr>
          <w:lang w:val="en-US"/>
        </w:rPr>
      </w:pPr>
      <w:r w:rsidRPr="00D93D4B">
        <w:rPr>
          <w:rtl/>
        </w:rPr>
        <w:t>إذا قررت السماح لقريبك بالاستمرار في الدراسة، فسنطلب منك التوقيع على نموذج الموافقة المرفق. تذكّر أن لك الحق في مهلة تفكير لا تقل عن 24 ساعة قبل اتخاذ قرارك. سيتم طلب موافقة قريبك بنفسه فور تحسن حالته بما يسمح بذلك. المشاركة طوعية، ويمكنك سحب موافقتك في أي وقت دون إبداء سبب، دون أن يؤثر ذلك على علاج قريبك</w:t>
      </w:r>
      <w:r w:rsidRPr="00E45ED6">
        <w:rPr>
          <w:lang w:val="en-US"/>
        </w:rPr>
        <w:t>.</w:t>
      </w:r>
    </w:p>
    <w:p w14:paraId="63BBDD10" w14:textId="77C0EA0A" w:rsidR="00D93D4B" w:rsidRPr="00E45ED6" w:rsidRDefault="00D93D4B" w:rsidP="00D93D4B">
      <w:pPr>
        <w:bidi/>
        <w:rPr>
          <w:lang w:val="en-US"/>
        </w:rPr>
      </w:pPr>
    </w:p>
    <w:p w14:paraId="0F8EAA6D" w14:textId="77777777" w:rsidR="00FB3301" w:rsidRDefault="00FB3301" w:rsidP="00FB3301">
      <w:pPr>
        <w:bidi/>
        <w:rPr>
          <w:rtl/>
          <w:lang w:val="en-US"/>
        </w:rPr>
      </w:pPr>
    </w:p>
    <w:p w14:paraId="6A15FF08" w14:textId="77777777" w:rsidR="00E45ED6" w:rsidRDefault="00E45ED6" w:rsidP="00E45ED6">
      <w:pPr>
        <w:bidi/>
        <w:rPr>
          <w:rtl/>
          <w:lang w:val="en-US"/>
        </w:rPr>
      </w:pPr>
    </w:p>
    <w:p w14:paraId="502C31B2" w14:textId="77777777" w:rsidR="00E45ED6" w:rsidRPr="00E45ED6" w:rsidRDefault="00E45ED6" w:rsidP="00E45ED6">
      <w:pPr>
        <w:bidi/>
        <w:rPr>
          <w:lang w:val="en-US"/>
        </w:rPr>
      </w:pPr>
    </w:p>
    <w:p w14:paraId="71F853E8" w14:textId="74023B09" w:rsidR="00D93D4B" w:rsidRPr="00E45ED6" w:rsidRDefault="00D93D4B" w:rsidP="00D93D4B">
      <w:pPr>
        <w:bidi/>
        <w:rPr>
          <w:b/>
          <w:bCs/>
        </w:rPr>
      </w:pPr>
      <w:r w:rsidRPr="00D93D4B">
        <w:rPr>
          <w:b/>
          <w:bCs/>
          <w:rtl/>
        </w:rPr>
        <w:lastRenderedPageBreak/>
        <w:t>الخلفية</w:t>
      </w:r>
    </w:p>
    <w:p w14:paraId="174B997D" w14:textId="77777777" w:rsidR="00D93D4B" w:rsidRPr="00E45ED6" w:rsidRDefault="00D93D4B" w:rsidP="00D93D4B">
      <w:pPr>
        <w:bidi/>
      </w:pPr>
      <w:r w:rsidRPr="00D93D4B">
        <w:rPr>
          <w:rtl/>
        </w:rPr>
        <w:t>الإنتان (تعفن الدم) هو حالة مهددة للحياة يمكن أن تنشأ نتيجة عدوى شديدة. يؤثر الإنتان على أعضاء الجسم وقد يؤدي في أسوأ الحالات إلى صدمة إنتانية، تتميز بفشل في الدورة الدموية</w:t>
      </w:r>
      <w:r w:rsidRPr="00E45ED6">
        <w:t>.</w:t>
      </w:r>
    </w:p>
    <w:p w14:paraId="4A4C0F33" w14:textId="77777777" w:rsidR="00D93D4B" w:rsidRPr="00E45ED6" w:rsidRDefault="00D93D4B" w:rsidP="00D93D4B">
      <w:pPr>
        <w:bidi/>
        <w:rPr>
          <w:lang w:val="en-US"/>
        </w:rPr>
      </w:pPr>
      <w:r w:rsidRPr="00D93D4B">
        <w:rPr>
          <w:rtl/>
        </w:rPr>
        <w:t>العلاج بالمضادات الحيوية واسعة الطيف هو العلاج القياسي للمرضى المنوّمين المصابين بالإنتان، لأنه يزيد من فرص البقاء على قيد الحياة. يعتمد اختيار نوع المضاد الحيوي واسع الطيف على عدة عوامل، مثل نوع العدوى، والأمراض المصاحبة، ومدى حساسية البكتيريا المتوقعة للمضادات الحيوية</w:t>
      </w:r>
      <w:r w:rsidRPr="00E45ED6">
        <w:rPr>
          <w:lang w:val="en-US"/>
        </w:rPr>
        <w:t>.</w:t>
      </w:r>
    </w:p>
    <w:p w14:paraId="62EFF99B" w14:textId="77777777" w:rsidR="00D93D4B" w:rsidRPr="00E45ED6" w:rsidRDefault="00D93D4B" w:rsidP="00D93D4B">
      <w:pPr>
        <w:bidi/>
        <w:rPr>
          <w:lang w:val="en-US"/>
        </w:rPr>
      </w:pPr>
      <w:r w:rsidRPr="00D93D4B">
        <w:rPr>
          <w:rtl/>
        </w:rPr>
        <w:t>يعالج معظم المرضى بأحد المضادين التاليين: ميروبينيم أو بيبيراسيلين/تازوباكتام، لكن لا يُعرف حتى الآن أيهما أفضل وأقل من حيث الآثار الجانبية</w:t>
      </w:r>
      <w:r w:rsidRPr="00E45ED6">
        <w:rPr>
          <w:lang w:val="en-US"/>
        </w:rPr>
        <w:t>.</w:t>
      </w:r>
    </w:p>
    <w:p w14:paraId="2B47A699" w14:textId="3EDF7E8A" w:rsidR="00D93D4B" w:rsidRPr="00E45ED6" w:rsidRDefault="00D93D4B" w:rsidP="00D93D4B">
      <w:pPr>
        <w:bidi/>
        <w:rPr>
          <w:lang w:val="en-US"/>
        </w:rPr>
      </w:pPr>
    </w:p>
    <w:p w14:paraId="76CEF5A6" w14:textId="77777777" w:rsidR="00D93D4B" w:rsidRPr="00E45ED6" w:rsidRDefault="00D93D4B" w:rsidP="00D93D4B">
      <w:pPr>
        <w:bidi/>
        <w:rPr>
          <w:b/>
          <w:bCs/>
          <w:lang w:val="en-US"/>
        </w:rPr>
      </w:pPr>
      <w:r w:rsidRPr="00D93D4B">
        <w:rPr>
          <w:b/>
          <w:bCs/>
          <w:rtl/>
        </w:rPr>
        <w:t>هدف الدراسة</w:t>
      </w:r>
    </w:p>
    <w:p w14:paraId="7CB2D8BD" w14:textId="77777777" w:rsidR="00D93D4B" w:rsidRPr="00E45ED6" w:rsidRDefault="00D93D4B" w:rsidP="00D93D4B">
      <w:pPr>
        <w:bidi/>
        <w:rPr>
          <w:lang w:val="en-US"/>
        </w:rPr>
      </w:pPr>
      <w:r w:rsidRPr="00D93D4B">
        <w:rPr>
          <w:rtl/>
        </w:rPr>
        <w:t>تهدف هذه الدراسة إلى معرفة ما إذا كان العلاج بالميروبينيم مقارنة بالبيبيراسيلين/تازوباكتام يؤدي إلى زيادة فرص البقاء على قيد الحياة لدى المرضى المصابين بالإنتان والحالة الحرجة</w:t>
      </w:r>
      <w:r w:rsidRPr="00E45ED6">
        <w:rPr>
          <w:lang w:val="en-US"/>
        </w:rPr>
        <w:t>.</w:t>
      </w:r>
    </w:p>
    <w:p w14:paraId="7431B92D" w14:textId="1F06462E" w:rsidR="00D93D4B" w:rsidRPr="00E45ED6" w:rsidRDefault="00D93D4B" w:rsidP="00D93D4B">
      <w:pPr>
        <w:bidi/>
        <w:rPr>
          <w:lang w:val="en-US"/>
        </w:rPr>
      </w:pPr>
    </w:p>
    <w:p w14:paraId="3299F08E" w14:textId="77777777" w:rsidR="00D93D4B" w:rsidRPr="00E45ED6" w:rsidRDefault="00D93D4B" w:rsidP="00D93D4B">
      <w:pPr>
        <w:bidi/>
        <w:rPr>
          <w:b/>
          <w:bCs/>
          <w:lang w:val="en-US"/>
        </w:rPr>
      </w:pPr>
      <w:r w:rsidRPr="00D93D4B">
        <w:rPr>
          <w:b/>
          <w:bCs/>
          <w:rtl/>
        </w:rPr>
        <w:t>الإجراءات العملية</w:t>
      </w:r>
    </w:p>
    <w:p w14:paraId="56AE3F24" w14:textId="77777777" w:rsidR="00D93D4B" w:rsidRPr="00E45ED6" w:rsidRDefault="00D93D4B" w:rsidP="00D93D4B">
      <w:pPr>
        <w:bidi/>
        <w:rPr>
          <w:lang w:val="en-US"/>
        </w:rPr>
      </w:pPr>
      <w:r w:rsidRPr="00D93D4B">
        <w:rPr>
          <w:rtl/>
        </w:rPr>
        <w:t>تُجرى الدراسة في مستشفيات في الدول الإسكندنافية وفي بقية أنحاء العالم. في هذه الدراسة، يتلقى قريبك إما ميروبينيم أو بيبيراسيلين/تازوباكتام وفقًا للإرشادات الوطنية والدولية المعتمدة لعلاج الإنتان. يتم تحديد نوع العلاج بشكل عشوائي</w:t>
      </w:r>
      <w:r w:rsidRPr="00E45ED6">
        <w:rPr>
          <w:lang w:val="en-US"/>
        </w:rPr>
        <w:t>.</w:t>
      </w:r>
    </w:p>
    <w:p w14:paraId="75B933D2" w14:textId="77777777" w:rsidR="00D93D4B" w:rsidRPr="00E45ED6" w:rsidRDefault="00D93D4B" w:rsidP="00D93D4B">
      <w:pPr>
        <w:bidi/>
        <w:rPr>
          <w:lang w:val="en-US"/>
        </w:rPr>
      </w:pPr>
      <w:r w:rsidRPr="00D93D4B">
        <w:rPr>
          <w:rtl/>
        </w:rPr>
        <w:t>سيُعالج قريبك بأحد هذين المضادين الحيويين لمدة تصل إلى 30 يومًا. أثناء فترة إدخال قريبك إلى المستشفى، سنقوم بجمع بيانات من ملفه الطبي تتعلق بحالته الصحية قبل المرض، وكذلك مسار المرض والعلاج أثناء الإقامة في المستشفى. نستخدم هذه البيانات لتقييم فعالية وسلامة العلاجين</w:t>
      </w:r>
      <w:r w:rsidRPr="00E45ED6">
        <w:rPr>
          <w:lang w:val="en-US"/>
        </w:rPr>
        <w:t>.</w:t>
      </w:r>
    </w:p>
    <w:p w14:paraId="5D060722" w14:textId="77777777" w:rsidR="00D93D4B" w:rsidRPr="00E45ED6" w:rsidRDefault="00D93D4B" w:rsidP="00D93D4B">
      <w:pPr>
        <w:bidi/>
        <w:rPr>
          <w:lang w:val="en-US"/>
        </w:rPr>
      </w:pPr>
      <w:r w:rsidRPr="00D93D4B">
        <w:rPr>
          <w:rtl/>
        </w:rPr>
        <w:t>عند انتهاء الدراسة، سنقوم بحساب</w:t>
      </w:r>
      <w:r w:rsidRPr="00E45ED6">
        <w:rPr>
          <w:lang w:val="en-US"/>
        </w:rPr>
        <w:t>:</w:t>
      </w:r>
    </w:p>
    <w:p w14:paraId="4B4C8954" w14:textId="77777777" w:rsidR="00D93D4B" w:rsidRPr="00E45ED6" w:rsidRDefault="00D93D4B" w:rsidP="00D93D4B">
      <w:pPr>
        <w:numPr>
          <w:ilvl w:val="0"/>
          <w:numId w:val="1"/>
        </w:numPr>
        <w:bidi/>
        <w:rPr>
          <w:lang w:val="en-US"/>
        </w:rPr>
      </w:pPr>
      <w:r w:rsidRPr="00D93D4B">
        <w:rPr>
          <w:rtl/>
        </w:rPr>
        <w:t>عدد المشاركين الذين بقوا على قيد الحياة</w:t>
      </w:r>
    </w:p>
    <w:p w14:paraId="523D3D85" w14:textId="77777777" w:rsidR="00D93D4B" w:rsidRPr="00E45ED6" w:rsidRDefault="00D93D4B" w:rsidP="00D93D4B">
      <w:pPr>
        <w:numPr>
          <w:ilvl w:val="0"/>
          <w:numId w:val="1"/>
        </w:numPr>
        <w:bidi/>
        <w:rPr>
          <w:lang w:val="en-US"/>
        </w:rPr>
      </w:pPr>
      <w:r w:rsidRPr="00D93D4B">
        <w:rPr>
          <w:rtl/>
        </w:rPr>
        <w:t>عدد المشاركين الذين تعرضوا لآثار جانبية أو تم عزلهم بسبب بكتيريا مقاومة</w:t>
      </w:r>
    </w:p>
    <w:p w14:paraId="126E07A3" w14:textId="77777777" w:rsidR="00D93D4B" w:rsidRPr="00D93D4B" w:rsidRDefault="00D93D4B" w:rsidP="00D93D4B">
      <w:pPr>
        <w:numPr>
          <w:ilvl w:val="0"/>
          <w:numId w:val="1"/>
        </w:numPr>
        <w:bidi/>
      </w:pPr>
      <w:r w:rsidRPr="00D93D4B">
        <w:rPr>
          <w:rtl/>
        </w:rPr>
        <w:t>مدة تلقي العلاجات الداعمة للحياة</w:t>
      </w:r>
    </w:p>
    <w:p w14:paraId="2227B668" w14:textId="77777777" w:rsidR="00D93D4B" w:rsidRPr="00D93D4B" w:rsidRDefault="00D93D4B" w:rsidP="00D93D4B">
      <w:pPr>
        <w:numPr>
          <w:ilvl w:val="0"/>
          <w:numId w:val="1"/>
        </w:numPr>
        <w:bidi/>
      </w:pPr>
      <w:r w:rsidRPr="00D93D4B">
        <w:rPr>
          <w:rtl/>
        </w:rPr>
        <w:t>مدة الإقامة في المستشفى</w:t>
      </w:r>
    </w:p>
    <w:p w14:paraId="688D847A" w14:textId="77777777" w:rsidR="00D93D4B" w:rsidRPr="00D93D4B" w:rsidRDefault="00D93D4B" w:rsidP="00D93D4B">
      <w:pPr>
        <w:bidi/>
      </w:pPr>
      <w:r w:rsidRPr="00D93D4B">
        <w:rPr>
          <w:rtl/>
        </w:rPr>
        <w:t>بعد مرور 90 و180 يومًا من مشاركة قريبك في الدراسة، سنتواصل مع قريبك أو مع أحد أقاربه هاتفيًا أو كتابيًا للسؤال عن جودة حياته المرتبطة بالصحة، وجمع بيانات طويلة الأمد أخرى مثل البقاء على قيد الحياة وإعادة الإدخال إلى المستشفى</w:t>
      </w:r>
      <w:r w:rsidRPr="00D93D4B">
        <w:t>.</w:t>
      </w:r>
    </w:p>
    <w:p w14:paraId="18202E37" w14:textId="77777777" w:rsidR="00D93D4B" w:rsidRPr="00D93D4B" w:rsidRDefault="00D93D4B" w:rsidP="00D93D4B">
      <w:pPr>
        <w:bidi/>
      </w:pPr>
      <w:r w:rsidRPr="00D93D4B">
        <w:rPr>
          <w:rtl/>
        </w:rPr>
        <w:t>الدراسة غير مُعماة، أي أنه يمكن معرفة أي نوع من المضادات الحيوية تلقّاه قريبك، ويمكن سؤاله عن ذلك خلال المقابلة المخططة مع الطبيب المسؤول عن الدراسة أو أي عضو آخر من فريق البحث</w:t>
      </w:r>
      <w:r w:rsidRPr="00D93D4B">
        <w:t>.</w:t>
      </w:r>
    </w:p>
    <w:p w14:paraId="2599AB0E" w14:textId="4EBF2894" w:rsidR="00D93D4B" w:rsidRPr="00D93D4B" w:rsidRDefault="00D93D4B" w:rsidP="00D93D4B">
      <w:pPr>
        <w:bidi/>
      </w:pPr>
    </w:p>
    <w:p w14:paraId="51F44F07" w14:textId="77777777" w:rsidR="00E45ED6" w:rsidRDefault="00E45ED6">
      <w:pPr>
        <w:rPr>
          <w:b/>
          <w:bCs/>
          <w:rtl/>
        </w:rPr>
      </w:pPr>
      <w:r>
        <w:rPr>
          <w:b/>
          <w:bCs/>
          <w:rtl/>
        </w:rPr>
        <w:br w:type="page"/>
      </w:r>
    </w:p>
    <w:p w14:paraId="1343FEF9" w14:textId="149FCFD1" w:rsidR="00D93D4B" w:rsidRPr="00D93D4B" w:rsidRDefault="00D93D4B" w:rsidP="00D93D4B">
      <w:pPr>
        <w:bidi/>
        <w:rPr>
          <w:b/>
          <w:bCs/>
        </w:rPr>
      </w:pPr>
      <w:r w:rsidRPr="00D93D4B">
        <w:rPr>
          <w:b/>
          <w:bCs/>
          <w:rtl/>
        </w:rPr>
        <w:lastRenderedPageBreak/>
        <w:t>الفائدة المتوقعة</w:t>
      </w:r>
    </w:p>
    <w:p w14:paraId="3299437D" w14:textId="77777777" w:rsidR="00D93D4B" w:rsidRPr="00D93D4B" w:rsidRDefault="00D93D4B" w:rsidP="00D93D4B">
      <w:pPr>
        <w:bidi/>
      </w:pPr>
      <w:r w:rsidRPr="00D93D4B">
        <w:rPr>
          <w:rtl/>
        </w:rPr>
        <w:t>لا يمكننا ضمان أن قريبك سيحصل على فائدة مباشرة من المشاركة في هذه الدراسة. نعلم أن كلا المضادين الحيويين يزيدان من فرص البقاء على قيد الحياة لدى مرضى الإنتان، لكننا لا نعرف أيهما أفضل وأقل من حيث الآثار الجانبية</w:t>
      </w:r>
      <w:r w:rsidRPr="00D93D4B">
        <w:t>.</w:t>
      </w:r>
    </w:p>
    <w:p w14:paraId="3CBEF29E" w14:textId="77777777" w:rsidR="00D93D4B" w:rsidRPr="00D93D4B" w:rsidRDefault="00D93D4B" w:rsidP="00D93D4B">
      <w:pPr>
        <w:bidi/>
      </w:pPr>
      <w:r w:rsidRPr="00D93D4B">
        <w:rPr>
          <w:rtl/>
        </w:rPr>
        <w:t>مشاركة قريبك تساهم في تحسين المعرفة الطبية حول أفضل طرق علاج مرضى الإنتان، ونعتقد أن نتائج هذه الدراسة ستساهم في تحسين علاج المرضى في المستقبل. ترتبط المشاركة في الدراسة بمخاطر محدودة، حيث لا يُسمح بمشاركة المرضى المعرضين لخطر عالٍ للآثار الجانبية، كما أن كلا العلاجين مستخدمان بشكل روتيني</w:t>
      </w:r>
      <w:r w:rsidRPr="00D93D4B">
        <w:t>.</w:t>
      </w:r>
    </w:p>
    <w:p w14:paraId="046E79EF" w14:textId="168495C0" w:rsidR="00D93D4B" w:rsidRPr="00D93D4B" w:rsidRDefault="00D93D4B" w:rsidP="00D93D4B">
      <w:pPr>
        <w:bidi/>
      </w:pPr>
    </w:p>
    <w:p w14:paraId="1D4873D5" w14:textId="77777777" w:rsidR="00D93D4B" w:rsidRPr="00D93D4B" w:rsidRDefault="00D93D4B" w:rsidP="00D93D4B">
      <w:pPr>
        <w:bidi/>
        <w:rPr>
          <w:b/>
          <w:bCs/>
        </w:rPr>
      </w:pPr>
      <w:r w:rsidRPr="00D93D4B">
        <w:rPr>
          <w:b/>
          <w:bCs/>
          <w:rtl/>
        </w:rPr>
        <w:t>تقييم مشاركة قريبك في الدراسة</w:t>
      </w:r>
    </w:p>
    <w:p w14:paraId="7F907A15" w14:textId="77777777" w:rsidR="00D93D4B" w:rsidRPr="00D93D4B" w:rsidRDefault="00D93D4B" w:rsidP="00D93D4B">
      <w:pPr>
        <w:bidi/>
      </w:pPr>
      <w:r w:rsidRPr="00D93D4B">
        <w:rPr>
          <w:rtl/>
        </w:rPr>
        <w:t>نظرًا لأن هذه الدراسة تُعد تجربة سريرية طارئة، فقد تم إدراج قريبك بالفعل في الدراسة بناءً على تقييم أولي لمعايير الاشتمال والاستبعاد. تم تطبيق هذه المعايير بعناية من قبل الطاقم الطبي المسؤول عن علاج قريبك</w:t>
      </w:r>
      <w:r w:rsidRPr="00D93D4B">
        <w:t>.</w:t>
      </w:r>
    </w:p>
    <w:p w14:paraId="64A8714F" w14:textId="77777777" w:rsidR="00D93D4B" w:rsidRPr="00D93D4B" w:rsidRDefault="00D93D4B" w:rsidP="00D93D4B">
      <w:pPr>
        <w:bidi/>
      </w:pPr>
      <w:r w:rsidRPr="00D93D4B">
        <w:rPr>
          <w:rtl/>
        </w:rPr>
        <w:t>تم تقييم أن قريبك يستوفي المعايير التالية</w:t>
      </w:r>
      <w:r w:rsidRPr="00D93D4B">
        <w:t>:</w:t>
      </w:r>
    </w:p>
    <w:p w14:paraId="2D0FE34E" w14:textId="77777777" w:rsidR="00D93D4B" w:rsidRPr="00D93D4B" w:rsidRDefault="00D93D4B" w:rsidP="00D93D4B">
      <w:pPr>
        <w:numPr>
          <w:ilvl w:val="0"/>
          <w:numId w:val="2"/>
        </w:numPr>
        <w:bidi/>
      </w:pPr>
      <w:r w:rsidRPr="00D93D4B">
        <w:rPr>
          <w:rtl/>
        </w:rPr>
        <w:t>كان عمره 18 عامًا أو أكثر</w:t>
      </w:r>
    </w:p>
    <w:p w14:paraId="558FE7A0" w14:textId="77777777" w:rsidR="00D93D4B" w:rsidRPr="00D93D4B" w:rsidRDefault="00D93D4B" w:rsidP="00D93D4B">
      <w:pPr>
        <w:numPr>
          <w:ilvl w:val="0"/>
          <w:numId w:val="2"/>
        </w:numPr>
        <w:bidi/>
      </w:pPr>
      <w:r w:rsidRPr="00D93D4B">
        <w:rPr>
          <w:rtl/>
        </w:rPr>
        <w:t>كان مصابًا بالإنتان وحالته حرجة، مما استدعى الحاجة إلى إعطاء أكسجين بتركيز عالٍ، أو علاج تنفسي آلي، أو دعم للدورة الدموية</w:t>
      </w:r>
    </w:p>
    <w:p w14:paraId="0CB5B920" w14:textId="77777777" w:rsidR="00D93D4B" w:rsidRPr="00D93D4B" w:rsidRDefault="00D93D4B" w:rsidP="00D93D4B">
      <w:pPr>
        <w:bidi/>
      </w:pPr>
      <w:r w:rsidRPr="00D93D4B">
        <w:rPr>
          <w:rtl/>
        </w:rPr>
        <w:t>كما تم تقييم أن قريبك لا يستوفي المعايير التالية</w:t>
      </w:r>
      <w:r w:rsidRPr="00D93D4B">
        <w:t>:</w:t>
      </w:r>
    </w:p>
    <w:p w14:paraId="328BA57E" w14:textId="77777777" w:rsidR="00D93D4B" w:rsidRPr="00D93D4B" w:rsidRDefault="00D93D4B" w:rsidP="00D93D4B">
      <w:pPr>
        <w:numPr>
          <w:ilvl w:val="0"/>
          <w:numId w:val="3"/>
        </w:numPr>
        <w:bidi/>
      </w:pPr>
      <w:r w:rsidRPr="00D93D4B">
        <w:rPr>
          <w:rtl/>
        </w:rPr>
        <w:t>لم يكن قد تلقى علاجًا بالميروبينيم أو البيبيراسيلين/تازوباكتام لأكثر من 24 ساعة قبل المشاركة</w:t>
      </w:r>
    </w:p>
    <w:p w14:paraId="32589456" w14:textId="77777777" w:rsidR="00D93D4B" w:rsidRPr="00D93D4B" w:rsidRDefault="00D93D4B" w:rsidP="00D93D4B">
      <w:pPr>
        <w:numPr>
          <w:ilvl w:val="0"/>
          <w:numId w:val="3"/>
        </w:numPr>
        <w:bidi/>
      </w:pPr>
      <w:r w:rsidRPr="00D93D4B">
        <w:rPr>
          <w:rtl/>
        </w:rPr>
        <w:t>لم يكن لديه حساسية أو فرط تحسس للبنسلين أو مضادات حيوية مشابهة</w:t>
      </w:r>
    </w:p>
    <w:p w14:paraId="0B3F7E9D" w14:textId="77777777" w:rsidR="00D93D4B" w:rsidRPr="00D93D4B" w:rsidRDefault="00D93D4B" w:rsidP="00D93D4B">
      <w:pPr>
        <w:numPr>
          <w:ilvl w:val="0"/>
          <w:numId w:val="3"/>
        </w:numPr>
        <w:bidi/>
      </w:pPr>
      <w:r w:rsidRPr="00D93D4B">
        <w:rPr>
          <w:rtl/>
        </w:rPr>
        <w:t>لم يكن لديه اشتباه أو تأكيد بعدوى في الدماغ أو السحايا</w:t>
      </w:r>
    </w:p>
    <w:p w14:paraId="1DE8F892" w14:textId="77777777" w:rsidR="00D93D4B" w:rsidRPr="00D93D4B" w:rsidRDefault="00D93D4B" w:rsidP="00D93D4B">
      <w:pPr>
        <w:numPr>
          <w:ilvl w:val="0"/>
          <w:numId w:val="3"/>
        </w:numPr>
        <w:bidi/>
      </w:pPr>
      <w:r w:rsidRPr="00D93D4B">
        <w:rPr>
          <w:rtl/>
        </w:rPr>
        <w:t>لم يكن لديه أو لم يكن قد أصيب خلال الأشهر الثلاثة السابقة بعدوى ببكتيريا مقاومة لأحد الدواءين</w:t>
      </w:r>
    </w:p>
    <w:p w14:paraId="0D94C0F9" w14:textId="77777777" w:rsidR="00D93D4B" w:rsidRPr="00D93D4B" w:rsidRDefault="00D93D4B" w:rsidP="00D93D4B">
      <w:pPr>
        <w:numPr>
          <w:ilvl w:val="0"/>
          <w:numId w:val="3"/>
        </w:numPr>
        <w:bidi/>
      </w:pPr>
      <w:r w:rsidRPr="00D93D4B">
        <w:rPr>
          <w:rtl/>
        </w:rPr>
        <w:t>لم يكن يتلقى علاجًا بالفالبروات (دواء يُستخدم غالبًا لعلاج الصرع)</w:t>
      </w:r>
    </w:p>
    <w:p w14:paraId="163BBEA2" w14:textId="6CEF29DD" w:rsidR="00E45ED6" w:rsidRPr="00E45ED6" w:rsidRDefault="00E45ED6" w:rsidP="00E45ED6">
      <w:pPr>
        <w:numPr>
          <w:ilvl w:val="0"/>
          <w:numId w:val="3"/>
        </w:numPr>
        <w:bidi/>
      </w:pPr>
      <w:r w:rsidRPr="00E45ED6">
        <w:rPr>
          <w:rFonts w:ascii="Times New Roman" w:eastAsia="Times New Roman" w:hAnsi="Times New Roman" w:cs="Times New Roman"/>
          <w:kern w:val="0"/>
          <w:lang w:eastAsia="da-DK"/>
          <w14:ligatures w14:val="none"/>
        </w:rPr>
        <w:t xml:space="preserve"> </w:t>
      </w:r>
      <w:r w:rsidRPr="00E45ED6">
        <w:rPr>
          <w:rFonts w:ascii="Arial" w:hAnsi="Arial" w:cs="Arial"/>
        </w:rPr>
        <w:t>لم</w:t>
      </w:r>
      <w:r w:rsidRPr="00E45ED6">
        <w:t xml:space="preserve"> </w:t>
      </w:r>
      <w:r w:rsidRPr="00E45ED6">
        <w:rPr>
          <w:rFonts w:ascii="Arial" w:hAnsi="Arial" w:cs="Arial"/>
        </w:rPr>
        <w:t>تكن</w:t>
      </w:r>
      <w:r w:rsidRPr="00E45ED6">
        <w:t xml:space="preserve"> </w:t>
      </w:r>
      <w:r w:rsidRPr="00E45ED6">
        <w:rPr>
          <w:rFonts w:ascii="Arial" w:hAnsi="Arial" w:cs="Arial"/>
        </w:rPr>
        <w:t>قريبتك</w:t>
      </w:r>
      <w:r w:rsidRPr="00E45ED6">
        <w:t xml:space="preserve"> </w:t>
      </w:r>
      <w:r w:rsidRPr="00E45ED6">
        <w:rPr>
          <w:rFonts w:ascii="Arial" w:hAnsi="Arial" w:cs="Arial"/>
        </w:rPr>
        <w:t>حاملاً</w:t>
      </w:r>
    </w:p>
    <w:p w14:paraId="1EBBD252" w14:textId="0D0CFA43" w:rsidR="00D93D4B" w:rsidRPr="00D93D4B" w:rsidRDefault="00D93D4B" w:rsidP="00D93D4B">
      <w:pPr>
        <w:numPr>
          <w:ilvl w:val="0"/>
          <w:numId w:val="3"/>
        </w:numPr>
        <w:bidi/>
      </w:pPr>
    </w:p>
    <w:p w14:paraId="268060AB" w14:textId="7771B45F" w:rsidR="00D93D4B" w:rsidRPr="00D93D4B" w:rsidRDefault="00D93D4B" w:rsidP="00D93D4B">
      <w:pPr>
        <w:bidi/>
      </w:pPr>
    </w:p>
    <w:p w14:paraId="26094189" w14:textId="77777777" w:rsidR="00D93D4B" w:rsidRPr="00D93D4B" w:rsidRDefault="00D93D4B" w:rsidP="00D93D4B">
      <w:pPr>
        <w:bidi/>
        <w:rPr>
          <w:b/>
          <w:bCs/>
        </w:rPr>
      </w:pPr>
      <w:r w:rsidRPr="00D93D4B">
        <w:rPr>
          <w:b/>
          <w:bCs/>
          <w:rtl/>
        </w:rPr>
        <w:t>إيقاف المشاركة</w:t>
      </w:r>
    </w:p>
    <w:p w14:paraId="4C23EE33" w14:textId="77777777" w:rsidR="00D93D4B" w:rsidRPr="00D93D4B" w:rsidRDefault="00D93D4B" w:rsidP="00D93D4B">
      <w:pPr>
        <w:bidi/>
      </w:pPr>
      <w:r w:rsidRPr="00D93D4B">
        <w:rPr>
          <w:rtl/>
        </w:rPr>
        <w:t>يمكنك سحب قريبك من الدراسة في أي وقت دون إبداء سبب، ولن يؤثر ذلك على علاقة قريبك بالأطباء أو على علاجه. سيستمر علاج قريبك كأي مريض آخر</w:t>
      </w:r>
      <w:r w:rsidRPr="00D93D4B">
        <w:t>.</w:t>
      </w:r>
    </w:p>
    <w:p w14:paraId="1975F4AB" w14:textId="77777777" w:rsidR="00D93D4B" w:rsidRPr="00D93D4B" w:rsidRDefault="00D93D4B" w:rsidP="00D93D4B">
      <w:pPr>
        <w:bidi/>
      </w:pPr>
      <w:r w:rsidRPr="00D93D4B">
        <w:rPr>
          <w:rtl/>
        </w:rPr>
        <w:t>قد يقرر الأطباء أيضًا إيقاف مشاركة قريبك في الدراسة، وسيتم إبلاغكم بالسبب في هذه الحالة</w:t>
      </w:r>
      <w:r w:rsidRPr="00D93D4B">
        <w:t>.</w:t>
      </w:r>
    </w:p>
    <w:p w14:paraId="5D380B4D" w14:textId="77777777" w:rsidR="00D93D4B" w:rsidRPr="00D93D4B" w:rsidRDefault="00D93D4B" w:rsidP="00D93D4B">
      <w:pPr>
        <w:bidi/>
      </w:pPr>
      <w:r w:rsidRPr="00D93D4B">
        <w:rPr>
          <w:rtl/>
        </w:rPr>
        <w:t>في حال سحب قريبك من الدراسة، قد يُطلب منك السماح بالاستمرار في جمع البيانات والمتابعة حتى 180 يومًا بعد المشاركة، رغم إيقاف العلاج التجريبي. سحب الموافقة لا يؤثر على استخدام البيانات التي تم جمعها قبل سحبها. وإذا لم تمنح الموافقة البديلة على المشاركة، فيحق لك أيضًا الاعتراض على استخدام البيانات التي تم جمعها من مشاركة قريبك</w:t>
      </w:r>
      <w:r w:rsidRPr="00D93D4B">
        <w:t>.</w:t>
      </w:r>
    </w:p>
    <w:p w14:paraId="4A16783E" w14:textId="6021A79B" w:rsidR="00D93D4B" w:rsidRPr="00D93D4B" w:rsidRDefault="00D93D4B" w:rsidP="00D93D4B">
      <w:pPr>
        <w:bidi/>
      </w:pPr>
    </w:p>
    <w:p w14:paraId="5B0FB23F" w14:textId="77777777" w:rsidR="00D93D4B" w:rsidRPr="00D93D4B" w:rsidRDefault="00D93D4B" w:rsidP="00D93D4B">
      <w:pPr>
        <w:bidi/>
        <w:rPr>
          <w:b/>
          <w:bCs/>
        </w:rPr>
      </w:pPr>
      <w:r w:rsidRPr="00D93D4B">
        <w:rPr>
          <w:b/>
          <w:bCs/>
          <w:rtl/>
        </w:rPr>
        <w:t>الآثار الجانبية والمخاطر</w:t>
      </w:r>
    </w:p>
    <w:p w14:paraId="0435FEEC" w14:textId="77777777" w:rsidR="00D93D4B" w:rsidRPr="00D93D4B" w:rsidRDefault="00D93D4B" w:rsidP="00D93D4B">
      <w:pPr>
        <w:bidi/>
      </w:pPr>
      <w:r w:rsidRPr="00D93D4B">
        <w:rPr>
          <w:rtl/>
        </w:rPr>
        <w:t>ميروبينيم وبيبيراسيلين/تازوباكتام من الأدوية المعروفة والمستخدمة على نطاق واسع. تشمل الآثار الجانبية الشائعة: الإسهال، آلام البطن، الغثيان، القيء، الحكة الجلدية، والطفح الجلدي</w:t>
      </w:r>
      <w:r w:rsidRPr="00D93D4B">
        <w:t>.</w:t>
      </w:r>
    </w:p>
    <w:p w14:paraId="268143A8" w14:textId="77777777" w:rsidR="00D93D4B" w:rsidRPr="00D93D4B" w:rsidRDefault="00D93D4B" w:rsidP="00D93D4B">
      <w:pPr>
        <w:bidi/>
      </w:pPr>
      <w:r w:rsidRPr="00D93D4B">
        <w:rPr>
          <w:rtl/>
        </w:rPr>
        <w:t>الآثار الجانبية الخطيرة نادرة الحدوث، وتشمل تفاعلات تحسسية شديدة، التهابات فطرية، التهاب القولون، وانحلال البشرة السمي (مرض جلدي خطير يترافق مع تقشّر الجلد وتكوّن فقاعات)</w:t>
      </w:r>
      <w:r w:rsidRPr="00D93D4B">
        <w:t>.</w:t>
      </w:r>
    </w:p>
    <w:p w14:paraId="480D460B" w14:textId="77777777" w:rsidR="00D93D4B" w:rsidRPr="00D93D4B" w:rsidRDefault="00D93D4B" w:rsidP="00D93D4B">
      <w:pPr>
        <w:bidi/>
      </w:pPr>
      <w:r w:rsidRPr="00D93D4B">
        <w:rPr>
          <w:rtl/>
        </w:rPr>
        <w:t>قد توجد مخاطر غير معروفة حاليًا، وسيتم إبلاغك فورًا إذا ظهرت معلومات جديدة</w:t>
      </w:r>
      <w:r w:rsidRPr="00D93D4B">
        <w:t>.</w:t>
      </w:r>
    </w:p>
    <w:p w14:paraId="4044EECF" w14:textId="52605AFA" w:rsidR="00D93D4B" w:rsidRPr="00D93D4B" w:rsidRDefault="00D93D4B" w:rsidP="00D93D4B">
      <w:pPr>
        <w:bidi/>
      </w:pPr>
    </w:p>
    <w:p w14:paraId="2F8A5ABC" w14:textId="77777777" w:rsidR="00D93D4B" w:rsidRPr="00D93D4B" w:rsidRDefault="00D93D4B" w:rsidP="00D93D4B">
      <w:pPr>
        <w:bidi/>
        <w:rPr>
          <w:b/>
          <w:bCs/>
        </w:rPr>
      </w:pPr>
      <w:r w:rsidRPr="00D93D4B">
        <w:rPr>
          <w:b/>
          <w:bCs/>
          <w:rtl/>
        </w:rPr>
        <w:t>السرية وحماية البيانات</w:t>
      </w:r>
    </w:p>
    <w:p w14:paraId="69C7A879" w14:textId="77777777" w:rsidR="00D93D4B" w:rsidRPr="00D93D4B" w:rsidRDefault="00D93D4B" w:rsidP="00D93D4B">
      <w:pPr>
        <w:bidi/>
      </w:pPr>
      <w:r w:rsidRPr="00D93D4B">
        <w:rPr>
          <w:rtl/>
        </w:rPr>
        <w:t>سيتم التعامل مع جميع المعلومات بسرية تامة، وستكون هوية قريبك مجهولة عند نشر النتائج. يحق لهيئة الأدوية، ووحدة الممارسة السريرية الجيدة</w:t>
      </w:r>
      <w:r w:rsidRPr="00D93D4B">
        <w:t xml:space="preserve"> (GCP)</w:t>
      </w:r>
      <w:r w:rsidRPr="00D93D4B">
        <w:rPr>
          <w:rtl/>
        </w:rPr>
        <w:t>، والطبيب المسؤول الاطلاع على الملف الطبي لقريبك لضمان سير الدراسة بشكل صحيح، وهم ملتزمون بواجب السرية</w:t>
      </w:r>
      <w:r w:rsidRPr="00D93D4B">
        <w:t>.</w:t>
      </w:r>
    </w:p>
    <w:p w14:paraId="2B97236B" w14:textId="77777777" w:rsidR="00D93D4B" w:rsidRPr="00D93D4B" w:rsidRDefault="00D93D4B" w:rsidP="00D93D4B">
      <w:pPr>
        <w:bidi/>
      </w:pPr>
      <w:r w:rsidRPr="00D93D4B">
        <w:rPr>
          <w:rtl/>
        </w:rPr>
        <w:t>تتم معالجة البيانات وفقًا للائحة حماية البيانات العامة</w:t>
      </w:r>
      <w:r w:rsidRPr="00D93D4B">
        <w:t xml:space="preserve"> (GDPR) </w:t>
      </w:r>
      <w:r w:rsidRPr="00D93D4B">
        <w:rPr>
          <w:rtl/>
        </w:rPr>
        <w:t>وقانون حماية البيانات الدنماركي. يمكن مشاركة البيانات بشكل مجهول الهوية مع باحثين آخرين بعد موافقة اللجنة التوجيهية للدراسة، أو بشكل غير مجهول بعد الحصول على الموافقات اللازمة</w:t>
      </w:r>
      <w:r w:rsidRPr="00D93D4B">
        <w:t>.</w:t>
      </w:r>
    </w:p>
    <w:p w14:paraId="60368434" w14:textId="00C76660" w:rsidR="00D93D4B" w:rsidRPr="00D93D4B" w:rsidRDefault="00D93D4B" w:rsidP="00D93D4B">
      <w:pPr>
        <w:bidi/>
      </w:pPr>
    </w:p>
    <w:p w14:paraId="267AB1E8" w14:textId="77777777" w:rsidR="00D93D4B" w:rsidRPr="00D93D4B" w:rsidRDefault="00D93D4B" w:rsidP="00D93D4B">
      <w:pPr>
        <w:bidi/>
        <w:rPr>
          <w:b/>
          <w:bCs/>
        </w:rPr>
      </w:pPr>
      <w:r w:rsidRPr="00D93D4B">
        <w:rPr>
          <w:b/>
          <w:bCs/>
          <w:rtl/>
        </w:rPr>
        <w:t>تمويل الدراسة</w:t>
      </w:r>
    </w:p>
    <w:p w14:paraId="681BA0BF" w14:textId="77777777" w:rsidR="005043CA" w:rsidRDefault="005043CA" w:rsidP="005043CA">
      <w:pPr>
        <w:bidi/>
      </w:pPr>
      <w:r>
        <w:br/>
        <w:t>تم تمويل الدراسة من عدة جهات بحثية وصناديق دعم علمي، دون تدخل هذه الجهات في تصميم أو تنفيذ أو تحليل أو نشر نتائج الدراسة</w:t>
      </w:r>
      <w:r w:rsidRPr="00391748">
        <w:rPr>
          <w:rtl/>
        </w:rPr>
        <w:t>۔</w:t>
      </w:r>
    </w:p>
    <w:p w14:paraId="06F29CFA" w14:textId="77777777" w:rsidR="005043CA" w:rsidRDefault="005043CA" w:rsidP="005043CA">
      <w:pPr>
        <w:bidi/>
      </w:pPr>
      <w:r>
        <w:rPr>
          <w:rFonts w:cs="Arial" w:hint="cs"/>
          <w:rtl/>
        </w:rPr>
        <w:t>تشمل</w:t>
      </w:r>
      <w:r>
        <w:rPr>
          <w:rFonts w:cs="Arial"/>
          <w:rtl/>
        </w:rPr>
        <w:t xml:space="preserve"> </w:t>
      </w:r>
      <w:r>
        <w:rPr>
          <w:rFonts w:cs="Arial" w:hint="cs"/>
          <w:rtl/>
        </w:rPr>
        <w:t>هذه</w:t>
      </w:r>
      <w:r>
        <w:rPr>
          <w:rFonts w:cs="Arial"/>
          <w:rtl/>
        </w:rPr>
        <w:t xml:space="preserve"> </w:t>
      </w:r>
      <w:r>
        <w:rPr>
          <w:rFonts w:cs="Arial" w:hint="cs"/>
          <w:rtl/>
        </w:rPr>
        <w:t>المنح</w:t>
      </w:r>
      <w:r>
        <w:rPr>
          <w:rFonts w:cs="Arial"/>
          <w:rtl/>
        </w:rPr>
        <w:t xml:space="preserve"> </w:t>
      </w:r>
      <w:r>
        <w:rPr>
          <w:rFonts w:cs="Arial" w:hint="cs"/>
          <w:rtl/>
        </w:rPr>
        <w:t>تمويلاً</w:t>
      </w:r>
      <w:r>
        <w:rPr>
          <w:rFonts w:cs="Arial"/>
          <w:rtl/>
        </w:rPr>
        <w:t xml:space="preserve"> </w:t>
      </w:r>
      <w:r>
        <w:rPr>
          <w:rFonts w:cs="Arial" w:hint="cs"/>
          <w:rtl/>
        </w:rPr>
        <w:t>من</w:t>
      </w:r>
      <w:r>
        <w:rPr>
          <w:rFonts w:cs="Arial"/>
          <w:rtl/>
        </w:rPr>
        <w:t xml:space="preserve"> </w:t>
      </w:r>
      <w:r>
        <w:rPr>
          <w:rFonts w:cs="Arial" w:hint="cs"/>
          <w:rtl/>
        </w:rPr>
        <w:t>صندوق</w:t>
      </w:r>
      <w:r>
        <w:rPr>
          <w:rFonts w:cs="Arial"/>
          <w:rtl/>
        </w:rPr>
        <w:t xml:space="preserve"> </w:t>
      </w:r>
      <w:r>
        <w:rPr>
          <w:rFonts w:cs="Arial" w:hint="cs"/>
          <w:rtl/>
        </w:rPr>
        <w:t>البحوث</w:t>
      </w:r>
      <w:r>
        <w:rPr>
          <w:rFonts w:cs="Arial"/>
          <w:rtl/>
        </w:rPr>
        <w:t xml:space="preserve"> </w:t>
      </w:r>
      <w:r>
        <w:rPr>
          <w:rFonts w:cs="Arial" w:hint="cs"/>
          <w:rtl/>
        </w:rPr>
        <w:t>الحرة</w:t>
      </w:r>
      <w:r>
        <w:rPr>
          <w:rFonts w:cs="Arial"/>
          <w:rtl/>
        </w:rPr>
        <w:t xml:space="preserve"> </w:t>
      </w:r>
      <w:r>
        <w:rPr>
          <w:rFonts w:cs="Arial" w:hint="cs"/>
          <w:rtl/>
        </w:rPr>
        <w:t>الدنماركي</w:t>
      </w:r>
      <w:r>
        <w:rPr>
          <w:rFonts w:cs="Arial"/>
          <w:rtl/>
        </w:rPr>
        <w:t xml:space="preserve"> (4,220,996 </w:t>
      </w:r>
      <w:r>
        <w:rPr>
          <w:rFonts w:cs="Arial" w:hint="cs"/>
          <w:rtl/>
        </w:rPr>
        <w:t>كرونة</w:t>
      </w:r>
      <w:r>
        <w:rPr>
          <w:rFonts w:cs="Arial"/>
          <w:rtl/>
        </w:rPr>
        <w:t xml:space="preserve"> </w:t>
      </w:r>
      <w:r>
        <w:rPr>
          <w:rFonts w:cs="Arial" w:hint="cs"/>
          <w:rtl/>
        </w:rPr>
        <w:t>دنماركية</w:t>
      </w:r>
      <w:r>
        <w:rPr>
          <w:rFonts w:cs="Arial"/>
          <w:rtl/>
        </w:rPr>
        <w:t>)</w:t>
      </w:r>
      <w:r>
        <w:rPr>
          <w:rFonts w:cs="Arial" w:hint="cs"/>
          <w:rtl/>
        </w:rPr>
        <w:t>،</w:t>
      </w:r>
      <w:r>
        <w:rPr>
          <w:rFonts w:cs="Arial"/>
          <w:rtl/>
        </w:rPr>
        <w:t xml:space="preserve"> </w:t>
      </w:r>
      <w:r>
        <w:rPr>
          <w:rFonts w:cs="Arial" w:hint="cs"/>
          <w:rtl/>
        </w:rPr>
        <w:t>ولجنة</w:t>
      </w:r>
      <w:r>
        <w:rPr>
          <w:rFonts w:cs="Arial"/>
          <w:rtl/>
        </w:rPr>
        <w:t xml:space="preserve"> </w:t>
      </w:r>
      <w:r>
        <w:rPr>
          <w:rFonts w:cs="Arial" w:hint="cs"/>
          <w:rtl/>
        </w:rPr>
        <w:t>البحوث</w:t>
      </w:r>
      <w:r>
        <w:rPr>
          <w:rFonts w:cs="Arial"/>
          <w:rtl/>
        </w:rPr>
        <w:t xml:space="preserve"> </w:t>
      </w:r>
      <w:r>
        <w:rPr>
          <w:rFonts w:cs="Arial" w:hint="cs"/>
          <w:rtl/>
        </w:rPr>
        <w:t>في</w:t>
      </w:r>
      <w:r>
        <w:rPr>
          <w:rFonts w:cs="Arial"/>
          <w:rtl/>
        </w:rPr>
        <w:t xml:space="preserve"> </w:t>
      </w:r>
      <w:r>
        <w:rPr>
          <w:rFonts w:cs="Arial" w:hint="cs"/>
          <w:rtl/>
        </w:rPr>
        <w:t>مستشفى</w:t>
      </w:r>
      <w:r>
        <w:rPr>
          <w:rFonts w:cs="Arial"/>
          <w:rtl/>
        </w:rPr>
        <w:t xml:space="preserve"> </w:t>
      </w:r>
      <w:r>
        <w:rPr>
          <w:rFonts w:cs="Arial" w:hint="cs"/>
          <w:rtl/>
        </w:rPr>
        <w:t>ريجسهوبيتاليت</w:t>
      </w:r>
      <w:r>
        <w:rPr>
          <w:rFonts w:cs="Arial"/>
          <w:rtl/>
        </w:rPr>
        <w:t xml:space="preserve"> (2,040,000 </w:t>
      </w:r>
      <w:r>
        <w:rPr>
          <w:rFonts w:cs="Arial" w:hint="cs"/>
          <w:rtl/>
        </w:rPr>
        <w:t>كرونة</w:t>
      </w:r>
      <w:r>
        <w:rPr>
          <w:rFonts w:cs="Arial"/>
          <w:rtl/>
        </w:rPr>
        <w:t xml:space="preserve"> </w:t>
      </w:r>
      <w:r>
        <w:rPr>
          <w:rFonts w:cs="Arial" w:hint="cs"/>
          <w:rtl/>
        </w:rPr>
        <w:t>دنماركية</w:t>
      </w:r>
      <w:r>
        <w:rPr>
          <w:rFonts w:cs="Arial"/>
          <w:rtl/>
        </w:rPr>
        <w:t>)</w:t>
      </w:r>
      <w:r>
        <w:rPr>
          <w:rFonts w:cs="Arial" w:hint="cs"/>
          <w:rtl/>
        </w:rPr>
        <w:t>،</w:t>
      </w:r>
      <w:r>
        <w:rPr>
          <w:rFonts w:cs="Arial"/>
          <w:rtl/>
        </w:rPr>
        <w:t xml:space="preserve"> </w:t>
      </w:r>
      <w:r>
        <w:rPr>
          <w:rFonts w:cs="Arial" w:hint="cs"/>
          <w:rtl/>
        </w:rPr>
        <w:t>وصندوق</w:t>
      </w:r>
      <w:r>
        <w:rPr>
          <w:rFonts w:cs="Arial"/>
          <w:rtl/>
        </w:rPr>
        <w:t xml:space="preserve"> </w:t>
      </w:r>
      <w:r>
        <w:rPr>
          <w:rFonts w:cs="Arial" w:hint="cs"/>
          <w:rtl/>
        </w:rPr>
        <w:t>البحوث</w:t>
      </w:r>
      <w:r>
        <w:rPr>
          <w:rFonts w:cs="Arial"/>
          <w:rtl/>
        </w:rPr>
        <w:t xml:space="preserve"> </w:t>
      </w:r>
      <w:r>
        <w:rPr>
          <w:rFonts w:cs="Arial" w:hint="cs"/>
          <w:rtl/>
        </w:rPr>
        <w:t>الصحية</w:t>
      </w:r>
      <w:r>
        <w:rPr>
          <w:rFonts w:cs="Arial"/>
          <w:rtl/>
        </w:rPr>
        <w:t xml:space="preserve"> </w:t>
      </w:r>
      <w:r>
        <w:rPr>
          <w:rFonts w:cs="Arial" w:hint="cs"/>
          <w:rtl/>
        </w:rPr>
        <w:t>في</w:t>
      </w:r>
      <w:r>
        <w:rPr>
          <w:rFonts w:cs="Arial"/>
          <w:rtl/>
        </w:rPr>
        <w:t xml:space="preserve"> </w:t>
      </w:r>
      <w:r>
        <w:rPr>
          <w:rFonts w:cs="Arial" w:hint="cs"/>
          <w:rtl/>
        </w:rPr>
        <w:t>إقليم</w:t>
      </w:r>
      <w:r>
        <w:rPr>
          <w:rFonts w:cs="Arial"/>
          <w:rtl/>
        </w:rPr>
        <w:t xml:space="preserve"> </w:t>
      </w:r>
      <w:r>
        <w:rPr>
          <w:rFonts w:cs="Arial" w:hint="cs"/>
          <w:rtl/>
        </w:rPr>
        <w:t>العاصمة</w:t>
      </w:r>
      <w:r>
        <w:rPr>
          <w:rFonts w:cs="Arial"/>
          <w:rtl/>
        </w:rPr>
        <w:t xml:space="preserve"> (1,740,428 </w:t>
      </w:r>
      <w:r>
        <w:rPr>
          <w:rFonts w:cs="Arial" w:hint="cs"/>
          <w:rtl/>
        </w:rPr>
        <w:t>كرونة</w:t>
      </w:r>
      <w:r>
        <w:rPr>
          <w:rFonts w:cs="Arial"/>
          <w:rtl/>
        </w:rPr>
        <w:t xml:space="preserve"> </w:t>
      </w:r>
      <w:r>
        <w:rPr>
          <w:rFonts w:cs="Arial" w:hint="cs"/>
          <w:rtl/>
        </w:rPr>
        <w:t>دنماركية</w:t>
      </w:r>
      <w:r>
        <w:rPr>
          <w:rFonts w:cs="Arial"/>
          <w:rtl/>
        </w:rPr>
        <w:t>)</w:t>
      </w:r>
      <w:r>
        <w:rPr>
          <w:rFonts w:cs="Arial" w:hint="cs"/>
          <w:rtl/>
        </w:rPr>
        <w:t>،</w:t>
      </w:r>
      <w:r>
        <w:rPr>
          <w:rFonts w:cs="Arial"/>
          <w:rtl/>
        </w:rPr>
        <w:t xml:space="preserve"> </w:t>
      </w:r>
      <w:r>
        <w:rPr>
          <w:rFonts w:cs="Arial" w:hint="cs"/>
          <w:rtl/>
        </w:rPr>
        <w:t>ومؤسسة</w:t>
      </w:r>
      <w:r>
        <w:rPr>
          <w:rFonts w:cs="Arial"/>
          <w:rtl/>
        </w:rPr>
        <w:t xml:space="preserve"> </w:t>
      </w:r>
      <w:r>
        <w:rPr>
          <w:rFonts w:cs="Arial" w:hint="cs"/>
          <w:rtl/>
        </w:rPr>
        <w:t>بيكِت</w:t>
      </w:r>
      <w:r>
        <w:rPr>
          <w:rFonts w:cs="Arial"/>
          <w:rtl/>
        </w:rPr>
        <w:t xml:space="preserve"> (100,000 </w:t>
      </w:r>
      <w:r>
        <w:rPr>
          <w:rFonts w:cs="Arial" w:hint="cs"/>
          <w:rtl/>
        </w:rPr>
        <w:t>كرونة</w:t>
      </w:r>
      <w:r>
        <w:rPr>
          <w:rFonts w:cs="Arial"/>
          <w:rtl/>
        </w:rPr>
        <w:t xml:space="preserve"> </w:t>
      </w:r>
      <w:r>
        <w:rPr>
          <w:rFonts w:cs="Arial" w:hint="cs"/>
          <w:rtl/>
        </w:rPr>
        <w:t>دنماركية</w:t>
      </w:r>
      <w:r>
        <w:rPr>
          <w:rFonts w:cs="Arial"/>
          <w:rtl/>
        </w:rPr>
        <w:t>)</w:t>
      </w:r>
      <w:r>
        <w:rPr>
          <w:rFonts w:cs="Arial" w:hint="cs"/>
          <w:rtl/>
        </w:rPr>
        <w:t>،</w:t>
      </w:r>
      <w:r>
        <w:rPr>
          <w:rFonts w:cs="Arial"/>
          <w:rtl/>
        </w:rPr>
        <w:t xml:space="preserve"> </w:t>
      </w:r>
      <w:r>
        <w:rPr>
          <w:rFonts w:cs="Arial" w:hint="cs"/>
          <w:rtl/>
        </w:rPr>
        <w:t>ومؤسسة</w:t>
      </w:r>
      <w:r>
        <w:rPr>
          <w:rFonts w:cs="Arial"/>
          <w:rtl/>
        </w:rPr>
        <w:t xml:space="preserve"> </w:t>
      </w:r>
      <w:r>
        <w:rPr>
          <w:rFonts w:cs="Arial" w:hint="cs"/>
          <w:rtl/>
        </w:rPr>
        <w:t>الطبيبة</w:t>
      </w:r>
      <w:r>
        <w:rPr>
          <w:rFonts w:cs="Arial"/>
          <w:rtl/>
        </w:rPr>
        <w:t xml:space="preserve"> </w:t>
      </w:r>
      <w:r>
        <w:rPr>
          <w:rFonts w:cs="Arial" w:hint="cs"/>
          <w:rtl/>
        </w:rPr>
        <w:t>إنغر</w:t>
      </w:r>
      <w:r>
        <w:rPr>
          <w:rFonts w:cs="Arial"/>
          <w:rtl/>
        </w:rPr>
        <w:t xml:space="preserve"> </w:t>
      </w:r>
      <w:r>
        <w:rPr>
          <w:rFonts w:cs="Arial" w:hint="cs"/>
          <w:rtl/>
        </w:rPr>
        <w:t>غولدمان</w:t>
      </w:r>
      <w:r>
        <w:rPr>
          <w:rFonts w:cs="Arial"/>
          <w:rtl/>
        </w:rPr>
        <w:t xml:space="preserve"> (100,000 </w:t>
      </w:r>
      <w:r>
        <w:rPr>
          <w:rFonts w:cs="Arial" w:hint="cs"/>
          <w:rtl/>
        </w:rPr>
        <w:t>كرونة</w:t>
      </w:r>
      <w:r>
        <w:rPr>
          <w:rFonts w:cs="Arial"/>
          <w:rtl/>
        </w:rPr>
        <w:t xml:space="preserve"> </w:t>
      </w:r>
      <w:r>
        <w:rPr>
          <w:rFonts w:cs="Arial" w:hint="cs"/>
          <w:rtl/>
        </w:rPr>
        <w:t>دنماركية</w:t>
      </w:r>
      <w:r>
        <w:rPr>
          <w:rFonts w:cs="Arial"/>
          <w:rtl/>
        </w:rPr>
        <w:t>)</w:t>
      </w:r>
      <w:r>
        <w:rPr>
          <w:rFonts w:cs="Arial" w:hint="cs"/>
          <w:rtl/>
        </w:rPr>
        <w:t>،</w:t>
      </w:r>
      <w:r>
        <w:rPr>
          <w:rFonts w:cs="Arial"/>
          <w:rtl/>
        </w:rPr>
        <w:t xml:space="preserve"> </w:t>
      </w:r>
      <w:r>
        <w:rPr>
          <w:rFonts w:cs="Arial" w:hint="cs"/>
          <w:rtl/>
        </w:rPr>
        <w:t>ومؤسسة</w:t>
      </w:r>
      <w:r>
        <w:rPr>
          <w:rFonts w:cs="Arial"/>
          <w:rtl/>
        </w:rPr>
        <w:t xml:space="preserve"> </w:t>
      </w:r>
      <w:r>
        <w:rPr>
          <w:rFonts w:cs="Arial" w:hint="cs"/>
          <w:rtl/>
        </w:rPr>
        <w:t>التاجر</w:t>
      </w:r>
      <w:r>
        <w:rPr>
          <w:rFonts w:cs="Arial"/>
          <w:rtl/>
        </w:rPr>
        <w:t xml:space="preserve"> </w:t>
      </w:r>
      <w:r>
        <w:rPr>
          <w:rFonts w:cs="Arial" w:hint="cs"/>
          <w:rtl/>
        </w:rPr>
        <w:t>يعقوب</w:t>
      </w:r>
      <w:r>
        <w:rPr>
          <w:rFonts w:cs="Arial"/>
          <w:rtl/>
        </w:rPr>
        <w:t xml:space="preserve"> </w:t>
      </w:r>
      <w:r>
        <w:rPr>
          <w:rFonts w:cs="Arial" w:hint="cs"/>
          <w:rtl/>
        </w:rPr>
        <w:t>إهرنرايش</w:t>
      </w:r>
      <w:r>
        <w:rPr>
          <w:rFonts w:cs="Arial"/>
          <w:rtl/>
        </w:rPr>
        <w:t xml:space="preserve"> </w:t>
      </w:r>
      <w:r>
        <w:rPr>
          <w:rFonts w:cs="Arial" w:hint="cs"/>
          <w:rtl/>
        </w:rPr>
        <w:t>وزوجته</w:t>
      </w:r>
      <w:r>
        <w:rPr>
          <w:rFonts w:cs="Arial"/>
          <w:rtl/>
        </w:rPr>
        <w:t xml:space="preserve"> </w:t>
      </w:r>
      <w:r>
        <w:rPr>
          <w:rFonts w:cs="Arial" w:hint="cs"/>
          <w:rtl/>
        </w:rPr>
        <w:t>غريته</w:t>
      </w:r>
      <w:r>
        <w:rPr>
          <w:rFonts w:cs="Arial"/>
          <w:rtl/>
        </w:rPr>
        <w:t xml:space="preserve"> </w:t>
      </w:r>
      <w:r>
        <w:rPr>
          <w:rFonts w:cs="Arial" w:hint="cs"/>
          <w:rtl/>
        </w:rPr>
        <w:t>إهرنرايش</w:t>
      </w:r>
      <w:r>
        <w:rPr>
          <w:rFonts w:cs="Arial"/>
          <w:rtl/>
        </w:rPr>
        <w:t xml:space="preserve"> (512,000 </w:t>
      </w:r>
      <w:r>
        <w:rPr>
          <w:rFonts w:cs="Arial" w:hint="cs"/>
          <w:rtl/>
        </w:rPr>
        <w:t>كرونة</w:t>
      </w:r>
      <w:r>
        <w:rPr>
          <w:rFonts w:cs="Arial"/>
          <w:rtl/>
        </w:rPr>
        <w:t xml:space="preserve"> </w:t>
      </w:r>
      <w:r>
        <w:rPr>
          <w:rFonts w:cs="Arial" w:hint="cs"/>
          <w:rtl/>
        </w:rPr>
        <w:t>دنماركية</w:t>
      </w:r>
      <w:r>
        <w:rPr>
          <w:rFonts w:cs="Arial"/>
          <w:rtl/>
        </w:rPr>
        <w:t>)</w:t>
      </w:r>
      <w:r w:rsidRPr="00391748">
        <w:rPr>
          <w:rtl/>
        </w:rPr>
        <w:t>۔</w:t>
      </w:r>
    </w:p>
    <w:p w14:paraId="247CD147" w14:textId="77777777" w:rsidR="005043CA" w:rsidRDefault="005043CA" w:rsidP="005043CA">
      <w:pPr>
        <w:bidi/>
      </w:pPr>
      <w:r>
        <w:rPr>
          <w:rFonts w:cs="Arial" w:hint="cs"/>
          <w:rtl/>
        </w:rPr>
        <w:t>تستخدم</w:t>
      </w:r>
      <w:r>
        <w:rPr>
          <w:rFonts w:cs="Arial"/>
          <w:rtl/>
        </w:rPr>
        <w:t xml:space="preserve"> </w:t>
      </w:r>
      <w:r>
        <w:rPr>
          <w:rFonts w:cs="Arial" w:hint="cs"/>
          <w:rtl/>
        </w:rPr>
        <w:t>الدراسة</w:t>
      </w:r>
      <w:r>
        <w:rPr>
          <w:rFonts w:cs="Arial"/>
          <w:rtl/>
        </w:rPr>
        <w:t xml:space="preserve"> </w:t>
      </w:r>
      <w:r>
        <w:rPr>
          <w:rFonts w:cs="Arial" w:hint="cs"/>
          <w:rtl/>
        </w:rPr>
        <w:t>البنية</w:t>
      </w:r>
      <w:r>
        <w:rPr>
          <w:rFonts w:cs="Arial"/>
          <w:rtl/>
        </w:rPr>
        <w:t xml:space="preserve"> </w:t>
      </w:r>
      <w:r>
        <w:rPr>
          <w:rFonts w:cs="Arial" w:hint="cs"/>
          <w:rtl/>
        </w:rPr>
        <w:t>التحتية</w:t>
      </w:r>
      <w:r>
        <w:rPr>
          <w:rFonts w:cs="Arial"/>
          <w:rtl/>
        </w:rPr>
        <w:t xml:space="preserve"> </w:t>
      </w:r>
      <w:r>
        <w:rPr>
          <w:rFonts w:cs="Arial" w:hint="cs"/>
          <w:rtl/>
        </w:rPr>
        <w:t>والمنهجية</w:t>
      </w:r>
      <w:r>
        <w:rPr>
          <w:rFonts w:cs="Arial"/>
          <w:rtl/>
        </w:rPr>
        <w:t xml:space="preserve"> </w:t>
      </w:r>
      <w:r>
        <w:rPr>
          <w:rFonts w:cs="Arial" w:hint="cs"/>
          <w:rtl/>
        </w:rPr>
        <w:t>التي</w:t>
      </w:r>
      <w:r>
        <w:rPr>
          <w:rFonts w:cs="Arial"/>
          <w:rtl/>
        </w:rPr>
        <w:t xml:space="preserve"> </w:t>
      </w:r>
      <w:r>
        <w:rPr>
          <w:rFonts w:cs="Arial" w:hint="cs"/>
          <w:rtl/>
        </w:rPr>
        <w:t>تم</w:t>
      </w:r>
      <w:r>
        <w:rPr>
          <w:rFonts w:cs="Arial"/>
          <w:rtl/>
        </w:rPr>
        <w:t xml:space="preserve"> </w:t>
      </w:r>
      <w:r>
        <w:rPr>
          <w:rFonts w:cs="Arial" w:hint="cs"/>
          <w:rtl/>
        </w:rPr>
        <w:t>تطويرها</w:t>
      </w:r>
      <w:r>
        <w:rPr>
          <w:rFonts w:cs="Arial"/>
          <w:rtl/>
        </w:rPr>
        <w:t xml:space="preserve"> </w:t>
      </w:r>
      <w:r>
        <w:rPr>
          <w:rFonts w:cs="Arial" w:hint="cs"/>
          <w:rtl/>
        </w:rPr>
        <w:t>كجزء</w:t>
      </w:r>
      <w:r>
        <w:rPr>
          <w:rFonts w:cs="Arial"/>
          <w:rtl/>
        </w:rPr>
        <w:t xml:space="preserve"> </w:t>
      </w:r>
      <w:r>
        <w:rPr>
          <w:rFonts w:cs="Arial" w:hint="cs"/>
          <w:rtl/>
        </w:rPr>
        <w:t>من</w:t>
      </w:r>
      <w:r>
        <w:rPr>
          <w:rFonts w:cs="Arial"/>
          <w:rtl/>
        </w:rPr>
        <w:t xml:space="preserve"> </w:t>
      </w:r>
      <w:r>
        <w:rPr>
          <w:rFonts w:cs="Arial" w:hint="cs"/>
          <w:rtl/>
        </w:rPr>
        <w:t>برنامج</w:t>
      </w:r>
      <w:r>
        <w:rPr>
          <w:rFonts w:cs="Arial"/>
          <w:rtl/>
        </w:rPr>
        <w:t xml:space="preserve"> </w:t>
      </w:r>
      <w:r>
        <w:rPr>
          <w:rFonts w:cs="Arial" w:hint="cs"/>
          <w:rtl/>
        </w:rPr>
        <w:t>تجربة</w:t>
      </w:r>
      <w:r>
        <w:rPr>
          <w:rFonts w:cs="Arial"/>
          <w:rtl/>
        </w:rPr>
        <w:t xml:space="preserve"> </w:t>
      </w:r>
      <w:r>
        <w:rPr>
          <w:rFonts w:cs="Arial" w:hint="cs"/>
          <w:rtl/>
        </w:rPr>
        <w:t>منصة</w:t>
      </w:r>
      <w:r>
        <w:rPr>
          <w:rFonts w:cs="Arial"/>
          <w:rtl/>
        </w:rPr>
        <w:t xml:space="preserve"> </w:t>
      </w:r>
      <w:r>
        <w:rPr>
          <w:rFonts w:cs="Arial" w:hint="cs"/>
          <w:rtl/>
        </w:rPr>
        <w:t>العناية</w:t>
      </w:r>
      <w:r>
        <w:rPr>
          <w:rFonts w:cs="Arial"/>
          <w:rtl/>
        </w:rPr>
        <w:t xml:space="preserve"> </w:t>
      </w:r>
      <w:r>
        <w:rPr>
          <w:rFonts w:cs="Arial" w:hint="cs"/>
          <w:rtl/>
        </w:rPr>
        <w:t>المركزة</w:t>
      </w:r>
      <w:r>
        <w:rPr>
          <w:rFonts w:cs="Arial"/>
          <w:rtl/>
        </w:rPr>
        <w:t xml:space="preserve"> (</w:t>
      </w:r>
      <w:r>
        <w:t>INCEPT</w:t>
      </w:r>
      <w:r>
        <w:rPr>
          <w:rFonts w:cs="Arial"/>
          <w:rtl/>
        </w:rPr>
        <w:t>) ‏</w:t>
      </w:r>
      <w:r>
        <w:t>(www.incept.dk)</w:t>
      </w:r>
      <w:r>
        <w:rPr>
          <w:rFonts w:cs="Arial" w:hint="cs"/>
          <w:rtl/>
        </w:rPr>
        <w:t>،</w:t>
      </w:r>
      <w:r>
        <w:rPr>
          <w:rFonts w:cs="Arial"/>
          <w:rtl/>
        </w:rPr>
        <w:t xml:space="preserve"> </w:t>
      </w:r>
      <w:r>
        <w:rPr>
          <w:rFonts w:cs="Arial" w:hint="cs"/>
          <w:rtl/>
        </w:rPr>
        <w:t>والمموّل</w:t>
      </w:r>
      <w:r>
        <w:rPr>
          <w:rFonts w:cs="Arial"/>
          <w:rtl/>
        </w:rPr>
        <w:t xml:space="preserve"> </w:t>
      </w:r>
      <w:r>
        <w:rPr>
          <w:rFonts w:cs="Arial" w:hint="cs"/>
          <w:rtl/>
        </w:rPr>
        <w:t>من</w:t>
      </w:r>
      <w:r>
        <w:rPr>
          <w:rFonts w:cs="Arial"/>
          <w:rtl/>
        </w:rPr>
        <w:t xml:space="preserve"> </w:t>
      </w:r>
      <w:r>
        <w:rPr>
          <w:rFonts w:cs="Arial" w:hint="cs"/>
          <w:rtl/>
        </w:rPr>
        <w:t>مؤسسة</w:t>
      </w:r>
      <w:r>
        <w:rPr>
          <w:rFonts w:cs="Arial"/>
          <w:rtl/>
        </w:rPr>
        <w:t xml:space="preserve"> </w:t>
      </w:r>
      <w:r>
        <w:rPr>
          <w:rFonts w:cs="Arial" w:hint="cs"/>
          <w:rtl/>
        </w:rPr>
        <w:t>نوفو</w:t>
      </w:r>
      <w:r>
        <w:rPr>
          <w:rFonts w:cs="Arial"/>
          <w:rtl/>
        </w:rPr>
        <w:t xml:space="preserve"> </w:t>
      </w:r>
      <w:r>
        <w:rPr>
          <w:rFonts w:cs="Arial" w:hint="cs"/>
          <w:rtl/>
        </w:rPr>
        <w:t>نورديسك</w:t>
      </w:r>
      <w:r>
        <w:rPr>
          <w:rFonts w:cs="Arial"/>
          <w:rtl/>
        </w:rPr>
        <w:t xml:space="preserve"> (29,985,000 </w:t>
      </w:r>
      <w:r>
        <w:rPr>
          <w:rFonts w:cs="Arial" w:hint="cs"/>
          <w:rtl/>
        </w:rPr>
        <w:t>كرونة</w:t>
      </w:r>
      <w:r>
        <w:rPr>
          <w:rFonts w:cs="Arial"/>
          <w:rtl/>
        </w:rPr>
        <w:t xml:space="preserve"> </w:t>
      </w:r>
      <w:r>
        <w:rPr>
          <w:rFonts w:cs="Arial" w:hint="cs"/>
          <w:rtl/>
        </w:rPr>
        <w:t>دنماركية</w:t>
      </w:r>
      <w:r>
        <w:rPr>
          <w:rFonts w:cs="Arial"/>
          <w:rtl/>
        </w:rPr>
        <w:t xml:space="preserve">) </w:t>
      </w:r>
      <w:r>
        <w:rPr>
          <w:rFonts w:cs="Arial" w:hint="cs"/>
          <w:rtl/>
        </w:rPr>
        <w:t>ومن</w:t>
      </w:r>
      <w:r>
        <w:rPr>
          <w:rFonts w:cs="Arial"/>
          <w:rtl/>
        </w:rPr>
        <w:t xml:space="preserve"> </w:t>
      </w:r>
      <w:r>
        <w:rPr>
          <w:rFonts w:cs="Arial" w:hint="cs"/>
          <w:rtl/>
        </w:rPr>
        <w:t>شركة</w:t>
      </w:r>
      <w:r>
        <w:rPr>
          <w:rFonts w:cs="Arial"/>
          <w:rtl/>
        </w:rPr>
        <w:t xml:space="preserve"> </w:t>
      </w:r>
      <w:r>
        <w:rPr>
          <w:rFonts w:cs="Arial" w:hint="cs"/>
          <w:rtl/>
        </w:rPr>
        <w:t>التأمين</w:t>
      </w:r>
      <w:r>
        <w:rPr>
          <w:rFonts w:cs="Arial"/>
          <w:rtl/>
        </w:rPr>
        <w:t xml:space="preserve"> </w:t>
      </w:r>
      <w:r>
        <w:rPr>
          <w:rFonts w:cs="Arial" w:hint="cs"/>
          <w:rtl/>
        </w:rPr>
        <w:t>الصحي</w:t>
      </w:r>
      <w:r>
        <w:rPr>
          <w:rFonts w:cs="Arial"/>
          <w:rtl/>
        </w:rPr>
        <w:t xml:space="preserve"> "</w:t>
      </w:r>
      <w:r>
        <w:rPr>
          <w:rFonts w:cs="Arial" w:hint="cs"/>
          <w:rtl/>
        </w:rPr>
        <w:t>دانمارك</w:t>
      </w:r>
      <w:r>
        <w:rPr>
          <w:rFonts w:cs="Arial"/>
          <w:rtl/>
        </w:rPr>
        <w:t xml:space="preserve">" (7,300,000 </w:t>
      </w:r>
      <w:r>
        <w:rPr>
          <w:rFonts w:cs="Arial" w:hint="cs"/>
          <w:rtl/>
        </w:rPr>
        <w:t>كرونة</w:t>
      </w:r>
      <w:r>
        <w:rPr>
          <w:rFonts w:cs="Arial"/>
          <w:rtl/>
        </w:rPr>
        <w:t xml:space="preserve"> </w:t>
      </w:r>
      <w:r>
        <w:rPr>
          <w:rFonts w:cs="Arial" w:hint="cs"/>
          <w:rtl/>
        </w:rPr>
        <w:t>دنماركية</w:t>
      </w:r>
      <w:r>
        <w:rPr>
          <w:rFonts w:cs="Arial"/>
          <w:rtl/>
        </w:rPr>
        <w:t>)</w:t>
      </w:r>
      <w:r>
        <w:rPr>
          <w:rFonts w:cs="Arial" w:hint="cs"/>
          <w:rtl/>
        </w:rPr>
        <w:t>،</w:t>
      </w:r>
      <w:r>
        <w:rPr>
          <w:rFonts w:cs="Arial"/>
          <w:rtl/>
        </w:rPr>
        <w:t xml:space="preserve"> </w:t>
      </w:r>
      <w:r>
        <w:rPr>
          <w:rFonts w:cs="Arial" w:hint="cs"/>
          <w:rtl/>
        </w:rPr>
        <w:t>وبدعم</w:t>
      </w:r>
      <w:r>
        <w:rPr>
          <w:rFonts w:cs="Arial"/>
          <w:rtl/>
        </w:rPr>
        <w:t xml:space="preserve"> </w:t>
      </w:r>
      <w:r>
        <w:rPr>
          <w:rFonts w:cs="Arial" w:hint="cs"/>
          <w:rtl/>
        </w:rPr>
        <w:t>من</w:t>
      </w:r>
      <w:r>
        <w:rPr>
          <w:rFonts w:cs="Arial"/>
          <w:rtl/>
        </w:rPr>
        <w:t xml:space="preserve"> </w:t>
      </w:r>
      <w:r>
        <w:rPr>
          <w:rFonts w:cs="Arial" w:hint="cs"/>
          <w:rtl/>
        </w:rPr>
        <w:t>مؤسسة</w:t>
      </w:r>
      <w:r>
        <w:rPr>
          <w:rFonts w:cs="Arial"/>
          <w:rtl/>
        </w:rPr>
        <w:t xml:space="preserve"> </w:t>
      </w:r>
      <w:r>
        <w:rPr>
          <w:rFonts w:cs="Arial" w:hint="cs"/>
          <w:rtl/>
        </w:rPr>
        <w:t>التاجر</w:t>
      </w:r>
      <w:r>
        <w:rPr>
          <w:rFonts w:cs="Arial"/>
          <w:rtl/>
        </w:rPr>
        <w:t xml:space="preserve"> </w:t>
      </w:r>
      <w:r>
        <w:rPr>
          <w:rFonts w:cs="Arial" w:hint="cs"/>
          <w:rtl/>
        </w:rPr>
        <w:t>يعقوب</w:t>
      </w:r>
      <w:r>
        <w:rPr>
          <w:rFonts w:cs="Arial"/>
          <w:rtl/>
        </w:rPr>
        <w:t xml:space="preserve"> </w:t>
      </w:r>
      <w:r>
        <w:rPr>
          <w:rFonts w:cs="Arial" w:hint="cs"/>
          <w:rtl/>
        </w:rPr>
        <w:t>إهرنرايش</w:t>
      </w:r>
      <w:r>
        <w:rPr>
          <w:rFonts w:cs="Arial"/>
          <w:rtl/>
        </w:rPr>
        <w:t xml:space="preserve"> </w:t>
      </w:r>
      <w:r>
        <w:rPr>
          <w:rFonts w:cs="Arial" w:hint="cs"/>
          <w:rtl/>
        </w:rPr>
        <w:t>وزوجته</w:t>
      </w:r>
      <w:r>
        <w:rPr>
          <w:rFonts w:cs="Arial"/>
          <w:rtl/>
        </w:rPr>
        <w:t xml:space="preserve"> </w:t>
      </w:r>
      <w:r>
        <w:rPr>
          <w:rFonts w:cs="Arial" w:hint="cs"/>
          <w:rtl/>
        </w:rPr>
        <w:t>غريته</w:t>
      </w:r>
      <w:r>
        <w:rPr>
          <w:rFonts w:cs="Arial"/>
          <w:rtl/>
        </w:rPr>
        <w:t xml:space="preserve"> </w:t>
      </w:r>
      <w:r>
        <w:rPr>
          <w:rFonts w:cs="Arial" w:hint="cs"/>
          <w:rtl/>
        </w:rPr>
        <w:t>إهرنرايش</w:t>
      </w:r>
      <w:r>
        <w:rPr>
          <w:rFonts w:cs="Arial"/>
          <w:rtl/>
        </w:rPr>
        <w:t xml:space="preserve"> (200,000 </w:t>
      </w:r>
      <w:r>
        <w:rPr>
          <w:rFonts w:cs="Arial" w:hint="cs"/>
          <w:rtl/>
        </w:rPr>
        <w:t>كرونة</w:t>
      </w:r>
      <w:r>
        <w:rPr>
          <w:rFonts w:cs="Arial"/>
          <w:rtl/>
        </w:rPr>
        <w:t xml:space="preserve"> </w:t>
      </w:r>
      <w:r>
        <w:rPr>
          <w:rFonts w:cs="Arial" w:hint="cs"/>
          <w:rtl/>
        </w:rPr>
        <w:t>دنماركية</w:t>
      </w:r>
      <w:r>
        <w:rPr>
          <w:rFonts w:cs="Arial"/>
          <w:rtl/>
        </w:rPr>
        <w:t>)</w:t>
      </w:r>
      <w:r>
        <w:rPr>
          <w:rFonts w:cs="Arial" w:hint="cs"/>
          <w:rtl/>
        </w:rPr>
        <w:t>،</w:t>
      </w:r>
      <w:r>
        <w:rPr>
          <w:rFonts w:cs="Arial"/>
          <w:rtl/>
        </w:rPr>
        <w:t xml:space="preserve"> </w:t>
      </w:r>
      <w:r>
        <w:rPr>
          <w:rFonts w:cs="Arial" w:hint="cs"/>
          <w:rtl/>
        </w:rPr>
        <w:t>ومؤسسة</w:t>
      </w:r>
      <w:r>
        <w:rPr>
          <w:rFonts w:cs="Arial"/>
          <w:rtl/>
        </w:rPr>
        <w:t xml:space="preserve"> </w:t>
      </w:r>
      <w:r>
        <w:rPr>
          <w:rFonts w:cs="Arial" w:hint="cs"/>
          <w:rtl/>
        </w:rPr>
        <w:t>داغمار</w:t>
      </w:r>
      <w:r>
        <w:rPr>
          <w:rFonts w:cs="Arial"/>
          <w:rtl/>
        </w:rPr>
        <w:t xml:space="preserve"> </w:t>
      </w:r>
      <w:r>
        <w:rPr>
          <w:rFonts w:cs="Arial" w:hint="cs"/>
          <w:rtl/>
        </w:rPr>
        <w:t>مارشال</w:t>
      </w:r>
      <w:r>
        <w:rPr>
          <w:rFonts w:cs="Arial"/>
          <w:rtl/>
        </w:rPr>
        <w:t xml:space="preserve"> (93,516 </w:t>
      </w:r>
      <w:r>
        <w:rPr>
          <w:rFonts w:cs="Arial" w:hint="cs"/>
          <w:rtl/>
        </w:rPr>
        <w:t>كرونة</w:t>
      </w:r>
      <w:r>
        <w:rPr>
          <w:rFonts w:cs="Arial"/>
          <w:rtl/>
        </w:rPr>
        <w:t xml:space="preserve"> </w:t>
      </w:r>
      <w:r>
        <w:rPr>
          <w:rFonts w:cs="Arial" w:hint="cs"/>
          <w:rtl/>
        </w:rPr>
        <w:t>دنماركية</w:t>
      </w:r>
      <w:r>
        <w:rPr>
          <w:rFonts w:cs="Arial"/>
          <w:rtl/>
        </w:rPr>
        <w:t>)</w:t>
      </w:r>
      <w:r>
        <w:rPr>
          <w:rFonts w:cs="Arial" w:hint="cs"/>
          <w:rtl/>
        </w:rPr>
        <w:t>،</w:t>
      </w:r>
      <w:r>
        <w:rPr>
          <w:rFonts w:cs="Arial"/>
          <w:rtl/>
        </w:rPr>
        <w:t xml:space="preserve"> </w:t>
      </w:r>
      <w:r>
        <w:rPr>
          <w:rFonts w:cs="Arial" w:hint="cs"/>
          <w:rtl/>
        </w:rPr>
        <w:t>ومنحة</w:t>
      </w:r>
      <w:r>
        <w:rPr>
          <w:rFonts w:cs="Arial"/>
          <w:rtl/>
        </w:rPr>
        <w:t xml:space="preserve"> </w:t>
      </w:r>
      <w:r>
        <w:rPr>
          <w:rFonts w:cs="Arial" w:hint="cs"/>
          <w:rtl/>
        </w:rPr>
        <w:t>تخليد</w:t>
      </w:r>
      <w:r>
        <w:rPr>
          <w:rFonts w:cs="Arial"/>
          <w:rtl/>
        </w:rPr>
        <w:t xml:space="preserve"> </w:t>
      </w:r>
      <w:r>
        <w:rPr>
          <w:rFonts w:cs="Arial" w:hint="cs"/>
          <w:rtl/>
        </w:rPr>
        <w:t>ذكرى</w:t>
      </w:r>
      <w:r>
        <w:rPr>
          <w:rFonts w:cs="Arial"/>
          <w:rtl/>
        </w:rPr>
        <w:t xml:space="preserve"> </w:t>
      </w:r>
      <w:r>
        <w:rPr>
          <w:rFonts w:cs="Arial" w:hint="cs"/>
          <w:rtl/>
        </w:rPr>
        <w:t>صاحب</w:t>
      </w:r>
      <w:r>
        <w:rPr>
          <w:rFonts w:cs="Arial"/>
          <w:rtl/>
        </w:rPr>
        <w:t xml:space="preserve"> </w:t>
      </w:r>
      <w:r>
        <w:rPr>
          <w:rFonts w:cs="Arial" w:hint="cs"/>
          <w:rtl/>
        </w:rPr>
        <w:t>المنشرة</w:t>
      </w:r>
      <w:r>
        <w:rPr>
          <w:rFonts w:cs="Arial"/>
          <w:rtl/>
        </w:rPr>
        <w:t xml:space="preserve"> </w:t>
      </w:r>
      <w:r>
        <w:rPr>
          <w:rFonts w:cs="Arial" w:hint="cs"/>
          <w:rtl/>
        </w:rPr>
        <w:t>يِبّه</w:t>
      </w:r>
      <w:r>
        <w:rPr>
          <w:rFonts w:cs="Arial"/>
          <w:rtl/>
        </w:rPr>
        <w:t xml:space="preserve"> </w:t>
      </w:r>
      <w:r>
        <w:rPr>
          <w:rFonts w:cs="Arial" w:hint="cs"/>
          <w:rtl/>
        </w:rPr>
        <w:t>يول</w:t>
      </w:r>
      <w:r>
        <w:rPr>
          <w:rFonts w:cs="Arial"/>
          <w:rtl/>
        </w:rPr>
        <w:t xml:space="preserve"> </w:t>
      </w:r>
      <w:r>
        <w:rPr>
          <w:rFonts w:cs="Arial" w:hint="cs"/>
          <w:rtl/>
        </w:rPr>
        <w:t>وزوجته</w:t>
      </w:r>
      <w:r>
        <w:rPr>
          <w:rFonts w:cs="Arial"/>
          <w:rtl/>
        </w:rPr>
        <w:t xml:space="preserve"> </w:t>
      </w:r>
      <w:r>
        <w:rPr>
          <w:rFonts w:cs="Arial" w:hint="cs"/>
          <w:rtl/>
        </w:rPr>
        <w:t>أوفيتا</w:t>
      </w:r>
      <w:r>
        <w:rPr>
          <w:rFonts w:cs="Arial"/>
          <w:rtl/>
        </w:rPr>
        <w:t xml:space="preserve"> </w:t>
      </w:r>
      <w:r>
        <w:rPr>
          <w:rFonts w:cs="Arial" w:hint="cs"/>
          <w:rtl/>
        </w:rPr>
        <w:t>يول</w:t>
      </w:r>
      <w:r>
        <w:rPr>
          <w:rFonts w:cs="Arial"/>
          <w:rtl/>
        </w:rPr>
        <w:t xml:space="preserve"> (1,000,000 </w:t>
      </w:r>
      <w:r>
        <w:rPr>
          <w:rFonts w:cs="Arial" w:hint="cs"/>
          <w:rtl/>
        </w:rPr>
        <w:t>كرونة</w:t>
      </w:r>
      <w:r>
        <w:rPr>
          <w:rFonts w:cs="Arial"/>
          <w:rtl/>
        </w:rPr>
        <w:t xml:space="preserve"> </w:t>
      </w:r>
      <w:r>
        <w:rPr>
          <w:rFonts w:cs="Arial" w:hint="cs"/>
          <w:rtl/>
        </w:rPr>
        <w:t>دنماركية</w:t>
      </w:r>
      <w:r>
        <w:rPr>
          <w:rFonts w:cs="Arial"/>
          <w:rtl/>
        </w:rPr>
        <w:t>)</w:t>
      </w:r>
      <w:r w:rsidRPr="00391748">
        <w:rPr>
          <w:rtl/>
        </w:rPr>
        <w:t>۔</w:t>
      </w:r>
    </w:p>
    <w:p w14:paraId="582E9361" w14:textId="1C9235A4" w:rsidR="00D93D4B" w:rsidRPr="00D93D4B" w:rsidRDefault="00D93D4B" w:rsidP="00D93D4B">
      <w:pPr>
        <w:bidi/>
      </w:pPr>
    </w:p>
    <w:p w14:paraId="0DD8E85A" w14:textId="77777777" w:rsidR="00D93D4B" w:rsidRPr="00D93D4B" w:rsidRDefault="00D93D4B" w:rsidP="00D93D4B">
      <w:pPr>
        <w:bidi/>
        <w:rPr>
          <w:b/>
          <w:bCs/>
        </w:rPr>
      </w:pPr>
      <w:r w:rsidRPr="00D93D4B">
        <w:rPr>
          <w:b/>
          <w:bCs/>
          <w:rtl/>
        </w:rPr>
        <w:t>التأمين</w:t>
      </w:r>
    </w:p>
    <w:p w14:paraId="55567EB0" w14:textId="77777777" w:rsidR="00D93D4B" w:rsidRPr="00D93D4B" w:rsidRDefault="00D93D4B" w:rsidP="00D93D4B">
      <w:pPr>
        <w:bidi/>
      </w:pPr>
      <w:r w:rsidRPr="00D93D4B">
        <w:rPr>
          <w:rtl/>
        </w:rPr>
        <w:t>قريبك مشمول بالتغطية من نظام تعويض المرضى أثناء مشاركته في الدراسة</w:t>
      </w:r>
      <w:r w:rsidRPr="00D93D4B">
        <w:t>.</w:t>
      </w:r>
    </w:p>
    <w:p w14:paraId="72471667" w14:textId="05605771" w:rsidR="00D93D4B" w:rsidRPr="00D93D4B" w:rsidRDefault="00D93D4B" w:rsidP="00D93D4B">
      <w:pPr>
        <w:bidi/>
      </w:pPr>
    </w:p>
    <w:p w14:paraId="2C335FE9" w14:textId="77777777" w:rsidR="00D93D4B" w:rsidRPr="00D93D4B" w:rsidRDefault="00D93D4B" w:rsidP="00D93D4B">
      <w:pPr>
        <w:bidi/>
        <w:rPr>
          <w:b/>
          <w:bCs/>
        </w:rPr>
      </w:pPr>
      <w:r w:rsidRPr="00D93D4B">
        <w:rPr>
          <w:b/>
          <w:bCs/>
          <w:rtl/>
        </w:rPr>
        <w:t>نتائج الدراسة</w:t>
      </w:r>
    </w:p>
    <w:p w14:paraId="49F3361A" w14:textId="7B233EC6" w:rsidR="00D93D4B" w:rsidRPr="00D93D4B" w:rsidRDefault="00D93D4B" w:rsidP="00D93D4B">
      <w:pPr>
        <w:bidi/>
      </w:pPr>
      <w:r w:rsidRPr="00D93D4B">
        <w:rPr>
          <w:rtl/>
        </w:rPr>
        <w:t>سيتم نشر نتائج الدراسة في مجلة علمية دولية، كما سيتم نشر ملخص علمي وملخص بلغة مبسطة في قاعدة بيانات الاتحاد الأوروبي للتجارب السريرية</w:t>
      </w:r>
      <w:r w:rsidRPr="00D93D4B">
        <w:t xml:space="preserve"> (euclinicaltrials.eu)</w:t>
      </w:r>
      <w:r w:rsidR="008C3FCB">
        <w:t xml:space="preserve"> </w:t>
      </w:r>
    </w:p>
    <w:p w14:paraId="126F4FBA" w14:textId="7E2CE141" w:rsidR="00D93D4B" w:rsidRPr="00D93D4B" w:rsidRDefault="00D93D4B" w:rsidP="00D93D4B">
      <w:pPr>
        <w:bidi/>
      </w:pPr>
    </w:p>
    <w:p w14:paraId="53524299" w14:textId="77777777" w:rsidR="00D93D4B" w:rsidRPr="00D93D4B" w:rsidRDefault="00D93D4B" w:rsidP="00D93D4B">
      <w:pPr>
        <w:bidi/>
        <w:rPr>
          <w:b/>
          <w:bCs/>
        </w:rPr>
      </w:pPr>
      <w:r w:rsidRPr="00D93D4B">
        <w:rPr>
          <w:b/>
          <w:bCs/>
          <w:rtl/>
        </w:rPr>
        <w:t>التواصل</w:t>
      </w:r>
    </w:p>
    <w:p w14:paraId="15D1D1FC" w14:textId="77777777" w:rsidR="00D93D4B" w:rsidRPr="00D93D4B" w:rsidRDefault="00D93D4B" w:rsidP="00D93D4B">
      <w:pPr>
        <w:bidi/>
      </w:pPr>
      <w:r w:rsidRPr="00D93D4B">
        <w:rPr>
          <w:rtl/>
        </w:rPr>
        <w:t>نأمل أن تكون هذه المعلومات قد أوضحت لك ما تعنيه المشاركة في هذه الدراسة. إذا كانت لديك أسئلة إضافية، يمكنك التواصل مع الطبيب المسؤول. نوصيك أيضًا بقراءة الوثيقة المرفقة: "حقوقك كمشارك في تجربة دوائية" الصادرة عن اللجنة الوطنية للأخلاقيات العلمية</w:t>
      </w:r>
      <w:r w:rsidRPr="00D93D4B">
        <w:t>.</w:t>
      </w:r>
    </w:p>
    <w:p w14:paraId="2D716154" w14:textId="04FC7CFC" w:rsidR="00D93D4B" w:rsidRDefault="00D93D4B" w:rsidP="00D93D4B">
      <w:pPr>
        <w:bidi/>
      </w:pPr>
    </w:p>
    <w:p w14:paraId="0BF12D8B" w14:textId="77777777" w:rsidR="00336815" w:rsidRPr="002D7E64" w:rsidRDefault="00336815" w:rsidP="00336815">
      <w:pPr>
        <w:bidi/>
      </w:pPr>
      <w:r w:rsidRPr="002D7E64">
        <w:br/>
      </w:r>
      <w:r>
        <w:t>Nick Meier</w:t>
      </w:r>
      <w:r w:rsidRPr="002D7E64">
        <w:rPr>
          <w:rtl/>
        </w:rPr>
        <w:t>، الباحث المنسّق</w:t>
      </w:r>
      <w:r w:rsidRPr="002D7E64">
        <w:br/>
      </w:r>
      <w:r w:rsidRPr="002D7E64">
        <w:rPr>
          <w:rtl/>
        </w:rPr>
        <w:t>طبيب، طالب دكتوراه</w:t>
      </w:r>
      <w:r w:rsidRPr="002D7E64">
        <w:br/>
      </w:r>
      <w:r w:rsidRPr="002D7E64">
        <w:rPr>
          <w:rtl/>
        </w:rPr>
        <w:t>قسم العناية المركزة، مستشفى ريغشوسبيتالِت</w:t>
      </w:r>
      <w:r w:rsidRPr="002D7E64">
        <w:br/>
      </w:r>
      <w:r>
        <w:t>Blegdamsvej 9</w:t>
      </w:r>
      <w:r w:rsidRPr="002D7E64">
        <w:rPr>
          <w:rtl/>
        </w:rPr>
        <w:t xml:space="preserve"> ، 2100 </w:t>
      </w:r>
      <w:r>
        <w:t>København</w:t>
      </w:r>
      <w:r w:rsidRPr="002D7E64">
        <w:t xml:space="preserve"> Ø</w:t>
      </w:r>
      <w:r w:rsidRPr="002D7E64">
        <w:br/>
      </w:r>
      <w:hyperlink r:id="rId8" w:history="1">
        <w:r w:rsidRPr="002171EE">
          <w:rPr>
            <w:rStyle w:val="Hyperlink"/>
          </w:rPr>
          <w:t>nick.meier@regionh.dk</w:t>
        </w:r>
      </w:hyperlink>
      <w:r>
        <w:t xml:space="preserve"> </w:t>
      </w:r>
    </w:p>
    <w:p w14:paraId="3E6CF38E" w14:textId="77777777" w:rsidR="00336815" w:rsidRPr="002D7E64" w:rsidRDefault="00336815" w:rsidP="00336815">
      <w:pPr>
        <w:bidi/>
      </w:pPr>
      <w:r w:rsidRPr="002D7E64">
        <w:rPr>
          <w:rtl/>
        </w:rPr>
        <w:t>مورتن هايلاندر مولر، الجهة الراعية</w:t>
      </w:r>
      <w:r w:rsidRPr="002D7E64">
        <w:br/>
      </w:r>
      <w:r w:rsidRPr="002D7E64">
        <w:rPr>
          <w:rtl/>
        </w:rPr>
        <w:t>أستاذ، استشاري أول</w:t>
      </w:r>
      <w:r w:rsidRPr="002D7E64">
        <w:br/>
      </w:r>
      <w:r w:rsidRPr="002D7E64">
        <w:rPr>
          <w:rtl/>
        </w:rPr>
        <w:t>قسم العناية المركزة، مستشفى ريغشوسبيتالِت</w:t>
      </w:r>
      <w:r w:rsidRPr="002D7E64">
        <w:br/>
      </w:r>
      <w:r>
        <w:t>Blegdamsvej 9</w:t>
      </w:r>
      <w:r w:rsidRPr="002D7E64">
        <w:rPr>
          <w:rtl/>
        </w:rPr>
        <w:t xml:space="preserve"> ، 2100 </w:t>
      </w:r>
      <w:r>
        <w:t>København</w:t>
      </w:r>
      <w:r w:rsidRPr="002D7E64">
        <w:t xml:space="preserve"> Ø</w:t>
      </w:r>
      <w:r w:rsidRPr="002D7E64">
        <w:br/>
      </w:r>
      <w:r>
        <w:t xml:space="preserve"> </w:t>
      </w:r>
      <w:hyperlink r:id="rId9" w:history="1">
        <w:r w:rsidRPr="002171EE">
          <w:rPr>
            <w:rStyle w:val="Hyperlink"/>
          </w:rPr>
          <w:t>morten.hylander.moeller@regionh.dk</w:t>
        </w:r>
      </w:hyperlink>
      <w:r>
        <w:t xml:space="preserve"> </w:t>
      </w:r>
    </w:p>
    <w:p w14:paraId="24DFC76A" w14:textId="34CFEDE2" w:rsidR="00A44DF9" w:rsidRDefault="00A44DF9" w:rsidP="00336815">
      <w:pPr>
        <w:bidi/>
      </w:pPr>
    </w:p>
    <w:sectPr w:rsidR="00A44DF9">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D44AD" w14:textId="77777777" w:rsidR="00D93D4B" w:rsidRDefault="00D93D4B" w:rsidP="00D93D4B">
      <w:pPr>
        <w:spacing w:after="0" w:line="240" w:lineRule="auto"/>
      </w:pPr>
      <w:r>
        <w:separator/>
      </w:r>
    </w:p>
  </w:endnote>
  <w:endnote w:type="continuationSeparator" w:id="0">
    <w:p w14:paraId="2D72652B" w14:textId="77777777" w:rsidR="00D93D4B" w:rsidRDefault="00D93D4B" w:rsidP="00D93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97D7" w14:textId="77777777" w:rsidR="003F187C" w:rsidRDefault="003F187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733F7" w14:textId="77777777" w:rsidR="00E45ED6" w:rsidRPr="00B577F0" w:rsidRDefault="00E45ED6" w:rsidP="00E45ED6">
    <w:pPr>
      <w:pStyle w:val="Sidefod"/>
      <w:jc w:val="center"/>
      <w:rPr>
        <w:sz w:val="18"/>
        <w:szCs w:val="18"/>
        <w:lang w:val="en-GB"/>
      </w:rPr>
    </w:pPr>
    <w:r w:rsidRPr="00B577F0">
      <w:rPr>
        <w:b/>
        <w:bCs/>
        <w:sz w:val="18"/>
        <w:szCs w:val="18"/>
        <w:lang w:val="en-GB"/>
      </w:rPr>
      <w:t>Translated:</w:t>
    </w:r>
    <w:r w:rsidRPr="00B577F0">
      <w:rPr>
        <w:sz w:val="18"/>
        <w:szCs w:val="18"/>
        <w:lang w:val="en-GB"/>
      </w:rPr>
      <w:t xml:space="preserve"> EMPRESS, Information sheet – relative, Version 1.1, 15.09.2025</w:t>
    </w:r>
  </w:p>
  <w:p w14:paraId="2EC17175" w14:textId="6AF40326" w:rsidR="00E45ED6" w:rsidRPr="00B577F0" w:rsidRDefault="00E45ED6" w:rsidP="00E45ED6">
    <w:pPr>
      <w:pStyle w:val="Sidefod"/>
      <w:jc w:val="center"/>
      <w:rPr>
        <w:sz w:val="18"/>
        <w:szCs w:val="18"/>
      </w:rPr>
    </w:pPr>
    <w:r w:rsidRPr="00B577F0">
      <w:rPr>
        <w:b/>
        <w:bCs/>
        <w:sz w:val="18"/>
        <w:szCs w:val="18"/>
      </w:rPr>
      <w:t>Language</w:t>
    </w:r>
    <w:r w:rsidRPr="00B577F0">
      <w:rPr>
        <w:sz w:val="18"/>
        <w:szCs w:val="18"/>
      </w:rPr>
      <w:t xml:space="preserve">: </w:t>
    </w:r>
    <w:r w:rsidR="003F187C">
      <w:rPr>
        <w:sz w:val="18"/>
        <w:szCs w:val="18"/>
      </w:rPr>
      <w:t>Arabic</w:t>
    </w:r>
  </w:p>
  <w:p w14:paraId="345B5964" w14:textId="77777777" w:rsidR="00D93D4B" w:rsidRDefault="00D93D4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EB62" w14:textId="77777777" w:rsidR="003F187C" w:rsidRDefault="003F187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8CFC7" w14:textId="77777777" w:rsidR="00D93D4B" w:rsidRDefault="00D93D4B" w:rsidP="00D93D4B">
      <w:pPr>
        <w:spacing w:after="0" w:line="240" w:lineRule="auto"/>
      </w:pPr>
      <w:r>
        <w:separator/>
      </w:r>
    </w:p>
  </w:footnote>
  <w:footnote w:type="continuationSeparator" w:id="0">
    <w:p w14:paraId="65910EF8" w14:textId="77777777" w:rsidR="00D93D4B" w:rsidRDefault="00D93D4B" w:rsidP="00D93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0BE8" w14:textId="77777777" w:rsidR="003F187C" w:rsidRDefault="003F187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92FFC" w14:textId="77777777" w:rsidR="003F187C" w:rsidRDefault="003F187C">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1B59" w14:textId="77777777" w:rsidR="003F187C" w:rsidRDefault="003F187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B9C"/>
    <w:multiLevelType w:val="multilevel"/>
    <w:tmpl w:val="44F8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83B20"/>
    <w:multiLevelType w:val="multilevel"/>
    <w:tmpl w:val="FA1E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94924"/>
    <w:multiLevelType w:val="multilevel"/>
    <w:tmpl w:val="748A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096593"/>
    <w:multiLevelType w:val="multilevel"/>
    <w:tmpl w:val="2E2E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150756">
    <w:abstractNumId w:val="0"/>
  </w:num>
  <w:num w:numId="2" w16cid:durableId="936594153">
    <w:abstractNumId w:val="1"/>
  </w:num>
  <w:num w:numId="3" w16cid:durableId="1693529619">
    <w:abstractNumId w:val="2"/>
  </w:num>
  <w:num w:numId="4" w16cid:durableId="2033874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D4B"/>
    <w:rsid w:val="0004497D"/>
    <w:rsid w:val="000735A7"/>
    <w:rsid w:val="000D4DFF"/>
    <w:rsid w:val="00150F50"/>
    <w:rsid w:val="0022287D"/>
    <w:rsid w:val="00326400"/>
    <w:rsid w:val="00336815"/>
    <w:rsid w:val="003F187C"/>
    <w:rsid w:val="005043CA"/>
    <w:rsid w:val="005227FD"/>
    <w:rsid w:val="005A1FE1"/>
    <w:rsid w:val="00634588"/>
    <w:rsid w:val="008021AE"/>
    <w:rsid w:val="008C3FCB"/>
    <w:rsid w:val="0099450B"/>
    <w:rsid w:val="00A07431"/>
    <w:rsid w:val="00A44DF9"/>
    <w:rsid w:val="00B22A07"/>
    <w:rsid w:val="00CD0D26"/>
    <w:rsid w:val="00D23A94"/>
    <w:rsid w:val="00D93D4B"/>
    <w:rsid w:val="00DA7303"/>
    <w:rsid w:val="00E45ED6"/>
    <w:rsid w:val="00E5694A"/>
    <w:rsid w:val="00EA069E"/>
    <w:rsid w:val="00EE30E4"/>
    <w:rsid w:val="00F507FB"/>
    <w:rsid w:val="00FB3301"/>
    <w:rsid w:val="00FF57B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22A8A1"/>
  <w15:chartTrackingRefBased/>
  <w15:docId w15:val="{6B02157C-46D4-4E6C-B3C2-3777CECB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93D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93D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93D4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93D4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93D4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93D4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93D4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93D4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93D4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3D4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93D4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93D4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93D4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93D4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93D4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93D4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93D4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93D4B"/>
    <w:rPr>
      <w:rFonts w:eastAsiaTheme="majorEastAsia" w:cstheme="majorBidi"/>
      <w:color w:val="272727" w:themeColor="text1" w:themeTint="D8"/>
    </w:rPr>
  </w:style>
  <w:style w:type="paragraph" w:styleId="Titel">
    <w:name w:val="Title"/>
    <w:basedOn w:val="Normal"/>
    <w:next w:val="Normal"/>
    <w:link w:val="TitelTegn"/>
    <w:uiPriority w:val="10"/>
    <w:qFormat/>
    <w:rsid w:val="00D93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93D4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93D4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93D4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93D4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93D4B"/>
    <w:rPr>
      <w:i/>
      <w:iCs/>
      <w:color w:val="404040" w:themeColor="text1" w:themeTint="BF"/>
    </w:rPr>
  </w:style>
  <w:style w:type="paragraph" w:styleId="Listeafsnit">
    <w:name w:val="List Paragraph"/>
    <w:basedOn w:val="Normal"/>
    <w:uiPriority w:val="34"/>
    <w:qFormat/>
    <w:rsid w:val="00D93D4B"/>
    <w:pPr>
      <w:ind w:left="720"/>
      <w:contextualSpacing/>
    </w:pPr>
  </w:style>
  <w:style w:type="character" w:styleId="Kraftigfremhvning">
    <w:name w:val="Intense Emphasis"/>
    <w:basedOn w:val="Standardskrifttypeiafsnit"/>
    <w:uiPriority w:val="21"/>
    <w:qFormat/>
    <w:rsid w:val="00D93D4B"/>
    <w:rPr>
      <w:i/>
      <w:iCs/>
      <w:color w:val="0F4761" w:themeColor="accent1" w:themeShade="BF"/>
    </w:rPr>
  </w:style>
  <w:style w:type="paragraph" w:styleId="Strktcitat">
    <w:name w:val="Intense Quote"/>
    <w:basedOn w:val="Normal"/>
    <w:next w:val="Normal"/>
    <w:link w:val="StrktcitatTegn"/>
    <w:uiPriority w:val="30"/>
    <w:qFormat/>
    <w:rsid w:val="00D93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93D4B"/>
    <w:rPr>
      <w:i/>
      <w:iCs/>
      <w:color w:val="0F4761" w:themeColor="accent1" w:themeShade="BF"/>
    </w:rPr>
  </w:style>
  <w:style w:type="character" w:styleId="Kraftighenvisning">
    <w:name w:val="Intense Reference"/>
    <w:basedOn w:val="Standardskrifttypeiafsnit"/>
    <w:uiPriority w:val="32"/>
    <w:qFormat/>
    <w:rsid w:val="00D93D4B"/>
    <w:rPr>
      <w:b/>
      <w:bCs/>
      <w:smallCaps/>
      <w:color w:val="0F4761" w:themeColor="accent1" w:themeShade="BF"/>
      <w:spacing w:val="5"/>
    </w:rPr>
  </w:style>
  <w:style w:type="paragraph" w:styleId="Sidehoved">
    <w:name w:val="header"/>
    <w:basedOn w:val="Normal"/>
    <w:link w:val="SidehovedTegn"/>
    <w:uiPriority w:val="99"/>
    <w:unhideWhenUsed/>
    <w:rsid w:val="00D93D4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93D4B"/>
  </w:style>
  <w:style w:type="paragraph" w:styleId="Sidefod">
    <w:name w:val="footer"/>
    <w:basedOn w:val="Normal"/>
    <w:link w:val="SidefodTegn"/>
    <w:uiPriority w:val="99"/>
    <w:unhideWhenUsed/>
    <w:rsid w:val="00D93D4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93D4B"/>
  </w:style>
  <w:style w:type="character" w:styleId="Hyperlink">
    <w:name w:val="Hyperlink"/>
    <w:basedOn w:val="Standardskrifttypeiafsnit"/>
    <w:uiPriority w:val="99"/>
    <w:unhideWhenUsed/>
    <w:rsid w:val="0033681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41314">
      <w:bodyDiv w:val="1"/>
      <w:marLeft w:val="0"/>
      <w:marRight w:val="0"/>
      <w:marTop w:val="0"/>
      <w:marBottom w:val="0"/>
      <w:divBdr>
        <w:top w:val="none" w:sz="0" w:space="0" w:color="auto"/>
        <w:left w:val="none" w:sz="0" w:space="0" w:color="auto"/>
        <w:bottom w:val="none" w:sz="0" w:space="0" w:color="auto"/>
        <w:right w:val="none" w:sz="0" w:space="0" w:color="auto"/>
      </w:divBdr>
    </w:div>
    <w:div w:id="1270358050">
      <w:bodyDiv w:val="1"/>
      <w:marLeft w:val="0"/>
      <w:marRight w:val="0"/>
      <w:marTop w:val="0"/>
      <w:marBottom w:val="0"/>
      <w:divBdr>
        <w:top w:val="none" w:sz="0" w:space="0" w:color="auto"/>
        <w:left w:val="none" w:sz="0" w:space="0" w:color="auto"/>
        <w:bottom w:val="none" w:sz="0" w:space="0" w:color="auto"/>
        <w:right w:val="none" w:sz="0" w:space="0" w:color="auto"/>
      </w:divBdr>
      <w:divsChild>
        <w:div w:id="243422887">
          <w:marLeft w:val="0"/>
          <w:marRight w:val="0"/>
          <w:marTop w:val="0"/>
          <w:marBottom w:val="0"/>
          <w:divBdr>
            <w:top w:val="none" w:sz="0" w:space="0" w:color="auto"/>
            <w:left w:val="none" w:sz="0" w:space="0" w:color="auto"/>
            <w:bottom w:val="none" w:sz="0" w:space="0" w:color="auto"/>
            <w:right w:val="none" w:sz="0" w:space="0" w:color="auto"/>
          </w:divBdr>
        </w:div>
        <w:div w:id="1810785880">
          <w:marLeft w:val="0"/>
          <w:marRight w:val="0"/>
          <w:marTop w:val="0"/>
          <w:marBottom w:val="0"/>
          <w:divBdr>
            <w:top w:val="none" w:sz="0" w:space="0" w:color="auto"/>
            <w:left w:val="none" w:sz="0" w:space="0" w:color="auto"/>
            <w:bottom w:val="none" w:sz="0" w:space="0" w:color="auto"/>
            <w:right w:val="none" w:sz="0" w:space="0" w:color="auto"/>
          </w:divBdr>
        </w:div>
        <w:div w:id="1535075367">
          <w:marLeft w:val="0"/>
          <w:marRight w:val="0"/>
          <w:marTop w:val="0"/>
          <w:marBottom w:val="0"/>
          <w:divBdr>
            <w:top w:val="none" w:sz="0" w:space="0" w:color="auto"/>
            <w:left w:val="none" w:sz="0" w:space="0" w:color="auto"/>
            <w:bottom w:val="none" w:sz="0" w:space="0" w:color="auto"/>
            <w:right w:val="none" w:sz="0" w:space="0" w:color="auto"/>
          </w:divBdr>
        </w:div>
        <w:div w:id="1570537265">
          <w:marLeft w:val="0"/>
          <w:marRight w:val="0"/>
          <w:marTop w:val="0"/>
          <w:marBottom w:val="0"/>
          <w:divBdr>
            <w:top w:val="none" w:sz="0" w:space="0" w:color="auto"/>
            <w:left w:val="none" w:sz="0" w:space="0" w:color="auto"/>
            <w:bottom w:val="none" w:sz="0" w:space="0" w:color="auto"/>
            <w:right w:val="none" w:sz="0" w:space="0" w:color="auto"/>
          </w:divBdr>
        </w:div>
        <w:div w:id="898832314">
          <w:marLeft w:val="0"/>
          <w:marRight w:val="0"/>
          <w:marTop w:val="0"/>
          <w:marBottom w:val="0"/>
          <w:divBdr>
            <w:top w:val="none" w:sz="0" w:space="0" w:color="auto"/>
            <w:left w:val="none" w:sz="0" w:space="0" w:color="auto"/>
            <w:bottom w:val="none" w:sz="0" w:space="0" w:color="auto"/>
            <w:right w:val="none" w:sz="0" w:space="0" w:color="auto"/>
          </w:divBdr>
        </w:div>
        <w:div w:id="891234188">
          <w:marLeft w:val="0"/>
          <w:marRight w:val="0"/>
          <w:marTop w:val="0"/>
          <w:marBottom w:val="0"/>
          <w:divBdr>
            <w:top w:val="none" w:sz="0" w:space="0" w:color="auto"/>
            <w:left w:val="none" w:sz="0" w:space="0" w:color="auto"/>
            <w:bottom w:val="none" w:sz="0" w:space="0" w:color="auto"/>
            <w:right w:val="none" w:sz="0" w:space="0" w:color="auto"/>
          </w:divBdr>
        </w:div>
        <w:div w:id="684020989">
          <w:marLeft w:val="0"/>
          <w:marRight w:val="0"/>
          <w:marTop w:val="0"/>
          <w:marBottom w:val="0"/>
          <w:divBdr>
            <w:top w:val="none" w:sz="0" w:space="0" w:color="auto"/>
            <w:left w:val="none" w:sz="0" w:space="0" w:color="auto"/>
            <w:bottom w:val="none" w:sz="0" w:space="0" w:color="auto"/>
            <w:right w:val="none" w:sz="0" w:space="0" w:color="auto"/>
          </w:divBdr>
        </w:div>
        <w:div w:id="1208495561">
          <w:marLeft w:val="0"/>
          <w:marRight w:val="0"/>
          <w:marTop w:val="0"/>
          <w:marBottom w:val="0"/>
          <w:divBdr>
            <w:top w:val="none" w:sz="0" w:space="0" w:color="auto"/>
            <w:left w:val="none" w:sz="0" w:space="0" w:color="auto"/>
            <w:bottom w:val="none" w:sz="0" w:space="0" w:color="auto"/>
            <w:right w:val="none" w:sz="0" w:space="0" w:color="auto"/>
          </w:divBdr>
        </w:div>
        <w:div w:id="347365791">
          <w:marLeft w:val="0"/>
          <w:marRight w:val="0"/>
          <w:marTop w:val="0"/>
          <w:marBottom w:val="0"/>
          <w:divBdr>
            <w:top w:val="none" w:sz="0" w:space="0" w:color="auto"/>
            <w:left w:val="none" w:sz="0" w:space="0" w:color="auto"/>
            <w:bottom w:val="none" w:sz="0" w:space="0" w:color="auto"/>
            <w:right w:val="none" w:sz="0" w:space="0" w:color="auto"/>
          </w:divBdr>
        </w:div>
        <w:div w:id="1046372356">
          <w:marLeft w:val="0"/>
          <w:marRight w:val="0"/>
          <w:marTop w:val="0"/>
          <w:marBottom w:val="0"/>
          <w:divBdr>
            <w:top w:val="none" w:sz="0" w:space="0" w:color="auto"/>
            <w:left w:val="none" w:sz="0" w:space="0" w:color="auto"/>
            <w:bottom w:val="none" w:sz="0" w:space="0" w:color="auto"/>
            <w:right w:val="none" w:sz="0" w:space="0" w:color="auto"/>
          </w:divBdr>
        </w:div>
        <w:div w:id="214506550">
          <w:marLeft w:val="0"/>
          <w:marRight w:val="0"/>
          <w:marTop w:val="0"/>
          <w:marBottom w:val="0"/>
          <w:divBdr>
            <w:top w:val="none" w:sz="0" w:space="0" w:color="auto"/>
            <w:left w:val="none" w:sz="0" w:space="0" w:color="auto"/>
            <w:bottom w:val="none" w:sz="0" w:space="0" w:color="auto"/>
            <w:right w:val="none" w:sz="0" w:space="0" w:color="auto"/>
          </w:divBdr>
        </w:div>
        <w:div w:id="1686900400">
          <w:marLeft w:val="0"/>
          <w:marRight w:val="0"/>
          <w:marTop w:val="0"/>
          <w:marBottom w:val="0"/>
          <w:divBdr>
            <w:top w:val="none" w:sz="0" w:space="0" w:color="auto"/>
            <w:left w:val="none" w:sz="0" w:space="0" w:color="auto"/>
            <w:bottom w:val="none" w:sz="0" w:space="0" w:color="auto"/>
            <w:right w:val="none" w:sz="0" w:space="0" w:color="auto"/>
          </w:divBdr>
        </w:div>
        <w:div w:id="2004696361">
          <w:marLeft w:val="0"/>
          <w:marRight w:val="0"/>
          <w:marTop w:val="0"/>
          <w:marBottom w:val="0"/>
          <w:divBdr>
            <w:top w:val="none" w:sz="0" w:space="0" w:color="auto"/>
            <w:left w:val="none" w:sz="0" w:space="0" w:color="auto"/>
            <w:bottom w:val="none" w:sz="0" w:space="0" w:color="auto"/>
            <w:right w:val="none" w:sz="0" w:space="0" w:color="auto"/>
          </w:divBdr>
        </w:div>
        <w:div w:id="1563902195">
          <w:marLeft w:val="0"/>
          <w:marRight w:val="0"/>
          <w:marTop w:val="0"/>
          <w:marBottom w:val="0"/>
          <w:divBdr>
            <w:top w:val="none" w:sz="0" w:space="0" w:color="auto"/>
            <w:left w:val="none" w:sz="0" w:space="0" w:color="auto"/>
            <w:bottom w:val="none" w:sz="0" w:space="0" w:color="auto"/>
            <w:right w:val="none" w:sz="0" w:space="0" w:color="auto"/>
          </w:divBdr>
        </w:div>
        <w:div w:id="1089616161">
          <w:marLeft w:val="0"/>
          <w:marRight w:val="0"/>
          <w:marTop w:val="0"/>
          <w:marBottom w:val="0"/>
          <w:divBdr>
            <w:top w:val="none" w:sz="0" w:space="0" w:color="auto"/>
            <w:left w:val="none" w:sz="0" w:space="0" w:color="auto"/>
            <w:bottom w:val="none" w:sz="0" w:space="0" w:color="auto"/>
            <w:right w:val="none" w:sz="0" w:space="0" w:color="auto"/>
          </w:divBdr>
        </w:div>
      </w:divsChild>
    </w:div>
    <w:div w:id="1477650782">
      <w:bodyDiv w:val="1"/>
      <w:marLeft w:val="0"/>
      <w:marRight w:val="0"/>
      <w:marTop w:val="0"/>
      <w:marBottom w:val="0"/>
      <w:divBdr>
        <w:top w:val="none" w:sz="0" w:space="0" w:color="auto"/>
        <w:left w:val="none" w:sz="0" w:space="0" w:color="auto"/>
        <w:bottom w:val="none" w:sz="0" w:space="0" w:color="auto"/>
        <w:right w:val="none" w:sz="0" w:space="0" w:color="auto"/>
      </w:divBdr>
    </w:div>
    <w:div w:id="1783500982">
      <w:bodyDiv w:val="1"/>
      <w:marLeft w:val="0"/>
      <w:marRight w:val="0"/>
      <w:marTop w:val="0"/>
      <w:marBottom w:val="0"/>
      <w:divBdr>
        <w:top w:val="none" w:sz="0" w:space="0" w:color="auto"/>
        <w:left w:val="none" w:sz="0" w:space="0" w:color="auto"/>
        <w:bottom w:val="none" w:sz="0" w:space="0" w:color="auto"/>
        <w:right w:val="none" w:sz="0" w:space="0" w:color="auto"/>
      </w:divBdr>
      <w:divsChild>
        <w:div w:id="986976767">
          <w:marLeft w:val="0"/>
          <w:marRight w:val="0"/>
          <w:marTop w:val="0"/>
          <w:marBottom w:val="0"/>
          <w:divBdr>
            <w:top w:val="none" w:sz="0" w:space="0" w:color="auto"/>
            <w:left w:val="none" w:sz="0" w:space="0" w:color="auto"/>
            <w:bottom w:val="none" w:sz="0" w:space="0" w:color="auto"/>
            <w:right w:val="none" w:sz="0" w:space="0" w:color="auto"/>
          </w:divBdr>
        </w:div>
        <w:div w:id="11541519">
          <w:marLeft w:val="0"/>
          <w:marRight w:val="0"/>
          <w:marTop w:val="0"/>
          <w:marBottom w:val="0"/>
          <w:divBdr>
            <w:top w:val="none" w:sz="0" w:space="0" w:color="auto"/>
            <w:left w:val="none" w:sz="0" w:space="0" w:color="auto"/>
            <w:bottom w:val="none" w:sz="0" w:space="0" w:color="auto"/>
            <w:right w:val="none" w:sz="0" w:space="0" w:color="auto"/>
          </w:divBdr>
        </w:div>
        <w:div w:id="215508445">
          <w:marLeft w:val="0"/>
          <w:marRight w:val="0"/>
          <w:marTop w:val="0"/>
          <w:marBottom w:val="0"/>
          <w:divBdr>
            <w:top w:val="none" w:sz="0" w:space="0" w:color="auto"/>
            <w:left w:val="none" w:sz="0" w:space="0" w:color="auto"/>
            <w:bottom w:val="none" w:sz="0" w:space="0" w:color="auto"/>
            <w:right w:val="none" w:sz="0" w:space="0" w:color="auto"/>
          </w:divBdr>
        </w:div>
        <w:div w:id="2045253841">
          <w:marLeft w:val="0"/>
          <w:marRight w:val="0"/>
          <w:marTop w:val="0"/>
          <w:marBottom w:val="0"/>
          <w:divBdr>
            <w:top w:val="none" w:sz="0" w:space="0" w:color="auto"/>
            <w:left w:val="none" w:sz="0" w:space="0" w:color="auto"/>
            <w:bottom w:val="none" w:sz="0" w:space="0" w:color="auto"/>
            <w:right w:val="none" w:sz="0" w:space="0" w:color="auto"/>
          </w:divBdr>
        </w:div>
        <w:div w:id="637759726">
          <w:marLeft w:val="0"/>
          <w:marRight w:val="0"/>
          <w:marTop w:val="0"/>
          <w:marBottom w:val="0"/>
          <w:divBdr>
            <w:top w:val="none" w:sz="0" w:space="0" w:color="auto"/>
            <w:left w:val="none" w:sz="0" w:space="0" w:color="auto"/>
            <w:bottom w:val="none" w:sz="0" w:space="0" w:color="auto"/>
            <w:right w:val="none" w:sz="0" w:space="0" w:color="auto"/>
          </w:divBdr>
        </w:div>
        <w:div w:id="1174107064">
          <w:marLeft w:val="0"/>
          <w:marRight w:val="0"/>
          <w:marTop w:val="0"/>
          <w:marBottom w:val="0"/>
          <w:divBdr>
            <w:top w:val="none" w:sz="0" w:space="0" w:color="auto"/>
            <w:left w:val="none" w:sz="0" w:space="0" w:color="auto"/>
            <w:bottom w:val="none" w:sz="0" w:space="0" w:color="auto"/>
            <w:right w:val="none" w:sz="0" w:space="0" w:color="auto"/>
          </w:divBdr>
        </w:div>
        <w:div w:id="358895468">
          <w:marLeft w:val="0"/>
          <w:marRight w:val="0"/>
          <w:marTop w:val="0"/>
          <w:marBottom w:val="0"/>
          <w:divBdr>
            <w:top w:val="none" w:sz="0" w:space="0" w:color="auto"/>
            <w:left w:val="none" w:sz="0" w:space="0" w:color="auto"/>
            <w:bottom w:val="none" w:sz="0" w:space="0" w:color="auto"/>
            <w:right w:val="none" w:sz="0" w:space="0" w:color="auto"/>
          </w:divBdr>
        </w:div>
        <w:div w:id="672993932">
          <w:marLeft w:val="0"/>
          <w:marRight w:val="0"/>
          <w:marTop w:val="0"/>
          <w:marBottom w:val="0"/>
          <w:divBdr>
            <w:top w:val="none" w:sz="0" w:space="0" w:color="auto"/>
            <w:left w:val="none" w:sz="0" w:space="0" w:color="auto"/>
            <w:bottom w:val="none" w:sz="0" w:space="0" w:color="auto"/>
            <w:right w:val="none" w:sz="0" w:space="0" w:color="auto"/>
          </w:divBdr>
        </w:div>
        <w:div w:id="540750350">
          <w:marLeft w:val="0"/>
          <w:marRight w:val="0"/>
          <w:marTop w:val="0"/>
          <w:marBottom w:val="0"/>
          <w:divBdr>
            <w:top w:val="none" w:sz="0" w:space="0" w:color="auto"/>
            <w:left w:val="none" w:sz="0" w:space="0" w:color="auto"/>
            <w:bottom w:val="none" w:sz="0" w:space="0" w:color="auto"/>
            <w:right w:val="none" w:sz="0" w:space="0" w:color="auto"/>
          </w:divBdr>
        </w:div>
        <w:div w:id="1200170947">
          <w:marLeft w:val="0"/>
          <w:marRight w:val="0"/>
          <w:marTop w:val="0"/>
          <w:marBottom w:val="0"/>
          <w:divBdr>
            <w:top w:val="none" w:sz="0" w:space="0" w:color="auto"/>
            <w:left w:val="none" w:sz="0" w:space="0" w:color="auto"/>
            <w:bottom w:val="none" w:sz="0" w:space="0" w:color="auto"/>
            <w:right w:val="none" w:sz="0" w:space="0" w:color="auto"/>
          </w:divBdr>
        </w:div>
        <w:div w:id="55326287">
          <w:marLeft w:val="0"/>
          <w:marRight w:val="0"/>
          <w:marTop w:val="0"/>
          <w:marBottom w:val="0"/>
          <w:divBdr>
            <w:top w:val="none" w:sz="0" w:space="0" w:color="auto"/>
            <w:left w:val="none" w:sz="0" w:space="0" w:color="auto"/>
            <w:bottom w:val="none" w:sz="0" w:space="0" w:color="auto"/>
            <w:right w:val="none" w:sz="0" w:space="0" w:color="auto"/>
          </w:divBdr>
        </w:div>
        <w:div w:id="2071419400">
          <w:marLeft w:val="0"/>
          <w:marRight w:val="0"/>
          <w:marTop w:val="0"/>
          <w:marBottom w:val="0"/>
          <w:divBdr>
            <w:top w:val="none" w:sz="0" w:space="0" w:color="auto"/>
            <w:left w:val="none" w:sz="0" w:space="0" w:color="auto"/>
            <w:bottom w:val="none" w:sz="0" w:space="0" w:color="auto"/>
            <w:right w:val="none" w:sz="0" w:space="0" w:color="auto"/>
          </w:divBdr>
        </w:div>
        <w:div w:id="97873809">
          <w:marLeft w:val="0"/>
          <w:marRight w:val="0"/>
          <w:marTop w:val="0"/>
          <w:marBottom w:val="0"/>
          <w:divBdr>
            <w:top w:val="none" w:sz="0" w:space="0" w:color="auto"/>
            <w:left w:val="none" w:sz="0" w:space="0" w:color="auto"/>
            <w:bottom w:val="none" w:sz="0" w:space="0" w:color="auto"/>
            <w:right w:val="none" w:sz="0" w:space="0" w:color="auto"/>
          </w:divBdr>
        </w:div>
        <w:div w:id="927739812">
          <w:marLeft w:val="0"/>
          <w:marRight w:val="0"/>
          <w:marTop w:val="0"/>
          <w:marBottom w:val="0"/>
          <w:divBdr>
            <w:top w:val="none" w:sz="0" w:space="0" w:color="auto"/>
            <w:left w:val="none" w:sz="0" w:space="0" w:color="auto"/>
            <w:bottom w:val="none" w:sz="0" w:space="0" w:color="auto"/>
            <w:right w:val="none" w:sz="0" w:space="0" w:color="auto"/>
          </w:divBdr>
        </w:div>
        <w:div w:id="922178148">
          <w:marLeft w:val="0"/>
          <w:marRight w:val="0"/>
          <w:marTop w:val="0"/>
          <w:marBottom w:val="0"/>
          <w:divBdr>
            <w:top w:val="none" w:sz="0" w:space="0" w:color="auto"/>
            <w:left w:val="none" w:sz="0" w:space="0" w:color="auto"/>
            <w:bottom w:val="none" w:sz="0" w:space="0" w:color="auto"/>
            <w:right w:val="none" w:sz="0" w:space="0" w:color="auto"/>
          </w:divBdr>
        </w:div>
      </w:divsChild>
    </w:div>
    <w:div w:id="193613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k.meier@regionh.d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orten.hylander.moeller@regionh.dk"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5</Pages>
  <Words>1146</Words>
  <Characters>6995</Characters>
  <Application>Microsoft Office Word</Application>
  <DocSecurity>0</DocSecurity>
  <Lines>58</Lines>
  <Paragraphs>16</Paragraphs>
  <ScaleCrop>false</ScaleCrop>
  <Company>Region Hovedstaden</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Jehad Ahmad Barakji</dc:creator>
  <cp:keywords/>
  <dc:description/>
  <cp:lastModifiedBy>Nick Frørup Meier</cp:lastModifiedBy>
  <cp:revision>20</cp:revision>
  <dcterms:created xsi:type="dcterms:W3CDTF">2026-01-16T11:54:00Z</dcterms:created>
  <dcterms:modified xsi:type="dcterms:W3CDTF">2026-04-29T10:12:00Z</dcterms:modified>
</cp:coreProperties>
</file>