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91681F">
              <w:rPr>
                <w:rFonts w:cstheme="minorHAnsi"/>
                <w:sz w:val="20"/>
                <w:szCs w:val="20"/>
                <w:lang w:val="en-GB"/>
              </w:rPr>
              <w:t>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AE4537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Positive plasma 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or urine-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(women &lt;50 years)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F0056E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F0056E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7C5F01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  <w:r w:rsidR="007C5F01">
              <w:rPr>
                <w:rFonts w:cstheme="minorHAnsi"/>
                <w:b/>
                <w:sz w:val="20"/>
                <w:szCs w:val="20"/>
                <w:lang w:val="en-GB"/>
              </w:rPr>
              <w:t xml:space="preserve">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7C5F0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F0056E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 xml:space="preserve">Use of any systemic anti-bacterial drugs </w:t>
            </w:r>
            <w:r w:rsidR="005E7E9B">
              <w:rPr>
                <w:noProof/>
                <w:sz w:val="20"/>
                <w:szCs w:val="20"/>
                <w:lang w:val="en-US" w:eastAsia="da-DK"/>
              </w:rPr>
              <w:t>during current hospital admission</w:t>
            </w:r>
            <w:r w:rsidRPr="00D4336A">
              <w:rPr>
                <w:noProof/>
                <w:sz w:val="20"/>
                <w:szCs w:val="20"/>
                <w:lang w:val="en-US" w:eastAsia="da-DK"/>
              </w:rPr>
              <w:t>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ay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 in D1, as continuous infusion or bol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>us injections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NO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in D1, what was the </w:t>
            </w:r>
            <w:r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bookmarkStart w:id="1" w:name="_GoBack"/>
            <w:bookmarkEnd w:id="1"/>
          </w:p>
        </w:tc>
      </w:tr>
      <w:tr w:rsidR="000A42CE" w:rsidRPr="00F0056E" w:rsidTr="00B743EA">
        <w:trPr>
          <w:trHeight w:val="510"/>
        </w:trPr>
        <w:tc>
          <w:tcPr>
            <w:tcW w:w="554" w:type="pct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Potential adverse effects to corticosteroids</w:t>
            </w:r>
          </w:p>
        </w:tc>
        <w:tc>
          <w:tcPr>
            <w:tcW w:w="2222" w:type="pct"/>
            <w:shd w:val="clear" w:color="auto" w:fill="auto"/>
          </w:tcPr>
          <w:p w:rsidR="000A42CE" w:rsidRPr="00F43BE4" w:rsidRDefault="000A42CE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0056E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0056E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F0056E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Serious Advers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F0056E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F0056E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0056E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F0056E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F0056E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0056E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0056E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F0056E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E213B9">
      <w:rPr>
        <w:sz w:val="16"/>
        <w:szCs w:val="16"/>
      </w:rPr>
      <w:t>1</w:t>
    </w:r>
    <w:r w:rsidRPr="00D241AB">
      <w:rPr>
        <w:sz w:val="16"/>
        <w:szCs w:val="16"/>
      </w:rPr>
      <w:t>_0</w:t>
    </w:r>
    <w:r w:rsidR="00E213B9">
      <w:rPr>
        <w:sz w:val="16"/>
        <w:szCs w:val="16"/>
      </w:rPr>
      <w:t>4</w:t>
    </w:r>
    <w:r w:rsidRPr="00D241AB">
      <w:rPr>
        <w:sz w:val="16"/>
        <w:szCs w:val="16"/>
      </w:rPr>
      <w:t>Apr2020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C1BBB"/>
    <w:rsid w:val="002126F6"/>
    <w:rsid w:val="00511060"/>
    <w:rsid w:val="005E7E9B"/>
    <w:rsid w:val="00686D25"/>
    <w:rsid w:val="00694438"/>
    <w:rsid w:val="006D6BE4"/>
    <w:rsid w:val="007B574A"/>
    <w:rsid w:val="007C5F01"/>
    <w:rsid w:val="00872873"/>
    <w:rsid w:val="008A293B"/>
    <w:rsid w:val="008E47C9"/>
    <w:rsid w:val="00904EC1"/>
    <w:rsid w:val="0091681F"/>
    <w:rsid w:val="00945687"/>
    <w:rsid w:val="00973C67"/>
    <w:rsid w:val="00AE4537"/>
    <w:rsid w:val="00B40629"/>
    <w:rsid w:val="00B743EA"/>
    <w:rsid w:val="00C11C35"/>
    <w:rsid w:val="00D241AB"/>
    <w:rsid w:val="00D4336A"/>
    <w:rsid w:val="00E213B9"/>
    <w:rsid w:val="00EC45C5"/>
    <w:rsid w:val="00F0056E"/>
    <w:rsid w:val="00F23E0E"/>
    <w:rsid w:val="00F30C06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BDD43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835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3</cp:revision>
  <dcterms:created xsi:type="dcterms:W3CDTF">2020-04-05T08:46:00Z</dcterms:created>
  <dcterms:modified xsi:type="dcterms:W3CDTF">2020-04-05T08:57:00Z</dcterms:modified>
</cp:coreProperties>
</file>