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9D25" w14:textId="77777777" w:rsidR="00736AE4" w:rsidRPr="007956E3" w:rsidRDefault="00736AE4" w:rsidP="00736AE4">
      <w:pPr>
        <w:pStyle w:val="DocumentHeading"/>
        <w:keepNext/>
        <w:spacing w:before="960"/>
      </w:pPr>
      <w:bookmarkStart w:id="0" w:name="_GoBack"/>
      <w:bookmarkEnd w:id="0"/>
      <w:r w:rsidRPr="007956E3">
        <w:t>Study Guidelines</w:t>
      </w:r>
    </w:p>
    <w:p w14:paraId="031289EF" w14:textId="77777777" w:rsidR="00736AE4" w:rsidRPr="001E1298" w:rsidRDefault="00736AE4" w:rsidP="00736AE4">
      <w:pPr>
        <w:pStyle w:val="BodyText"/>
        <w:jc w:val="center"/>
        <w:rPr>
          <w:lang w:val="en-US"/>
        </w:rPr>
      </w:pPr>
    </w:p>
    <w:p w14:paraId="7942421B" w14:textId="77777777" w:rsidR="00736AE4" w:rsidRPr="007956E3" w:rsidRDefault="00736AE4" w:rsidP="00736AE4">
      <w:pPr>
        <w:pStyle w:val="ReporterGeneral"/>
      </w:pPr>
      <w:r w:rsidRPr="007956E3">
        <w:t>by Sarah MATHESON, Reporter General</w:t>
      </w:r>
    </w:p>
    <w:p w14:paraId="520954E8" w14:textId="3279CACA" w:rsidR="00671192" w:rsidRPr="007956E3" w:rsidRDefault="00736AE4" w:rsidP="00736AE4">
      <w:pPr>
        <w:pStyle w:val="DeputyRGs"/>
      </w:pPr>
      <w:r w:rsidRPr="007956E3">
        <w:t>John OSHA</w:t>
      </w:r>
      <w:r w:rsidR="003070E6">
        <w:t xml:space="preserve"> and </w:t>
      </w:r>
      <w:r w:rsidR="00671192">
        <w:t>Anne Marie VERSCHUUR, Deputy Reporter</w:t>
      </w:r>
      <w:r w:rsidR="003070E6">
        <w:t>s</w:t>
      </w:r>
      <w:r w:rsidR="00671192">
        <w:t xml:space="preserve"> General</w:t>
      </w:r>
    </w:p>
    <w:p w14:paraId="4B0B16E1" w14:textId="059C2928" w:rsidR="00736AE4" w:rsidRPr="007956E3" w:rsidRDefault="004C2AC7" w:rsidP="00736AE4">
      <w:pPr>
        <w:pStyle w:val="Assistants1"/>
      </w:pPr>
      <w:r>
        <w:t>Yusuke INUI,</w:t>
      </w:r>
      <w:r w:rsidRPr="007956E3">
        <w:t xml:space="preserve"> </w:t>
      </w:r>
      <w:r w:rsidR="00736AE4" w:rsidRPr="007956E3">
        <w:t>Ari LAAKKONEN and Ralph NACK</w:t>
      </w:r>
    </w:p>
    <w:p w14:paraId="0379A456" w14:textId="77777777" w:rsidR="00736AE4" w:rsidRPr="007956E3" w:rsidRDefault="00736AE4" w:rsidP="00736AE4">
      <w:pPr>
        <w:pStyle w:val="Assistants2"/>
      </w:pPr>
      <w:r w:rsidRPr="007956E3">
        <w:t>Assistants to the Reporter General</w:t>
      </w:r>
    </w:p>
    <w:p w14:paraId="6CA22E9D" w14:textId="7B7B2113" w:rsidR="00736AE4" w:rsidRPr="00B6310C" w:rsidRDefault="00736AE4" w:rsidP="00145387">
      <w:pPr>
        <w:pStyle w:val="Category"/>
      </w:pPr>
      <w:r w:rsidRPr="007956E3">
        <w:t>201</w:t>
      </w:r>
      <w:r w:rsidR="006675EC">
        <w:rPr>
          <w:lang w:eastAsia="ja-JP"/>
        </w:rPr>
        <w:t>8</w:t>
      </w:r>
      <w:r w:rsidRPr="007956E3">
        <w:t xml:space="preserve"> – Study Question</w:t>
      </w:r>
    </w:p>
    <w:p w14:paraId="24E31FCB" w14:textId="6A4A557C" w:rsidR="00736AE4" w:rsidRPr="00841661" w:rsidRDefault="009455BC" w:rsidP="00736AE4">
      <w:pPr>
        <w:pStyle w:val="CategoryTitle"/>
      </w:pPr>
      <w:r w:rsidRPr="00841661">
        <w:t>Joint liability for IP infringement</w:t>
      </w:r>
    </w:p>
    <w:p w14:paraId="384771CF" w14:textId="77777777" w:rsidR="00736AE4" w:rsidRDefault="00736AE4" w:rsidP="00CC7413">
      <w:pPr>
        <w:pStyle w:val="HeadingBold"/>
      </w:pPr>
      <w:r w:rsidRPr="00DE1CD8">
        <w:t>Introduction</w:t>
      </w:r>
    </w:p>
    <w:p w14:paraId="1DBD5F18" w14:textId="0DCC079F" w:rsidR="009455BC" w:rsidRPr="003765AE" w:rsidRDefault="009455BC" w:rsidP="009455BC">
      <w:pPr>
        <w:pStyle w:val="Para-1"/>
        <w:rPr>
          <w:lang w:val="en-GB"/>
        </w:rPr>
      </w:pPr>
      <w:r w:rsidRPr="003765AE">
        <w:rPr>
          <w:lang w:val="en-GB"/>
        </w:rPr>
        <w:t xml:space="preserve">This Study Question concerns </w:t>
      </w:r>
      <w:r w:rsidR="00AB0815">
        <w:rPr>
          <w:lang w:val="en-GB"/>
        </w:rPr>
        <w:t xml:space="preserve">joint liability </w:t>
      </w:r>
      <w:r w:rsidRPr="003765AE">
        <w:rPr>
          <w:lang w:val="en-GB"/>
        </w:rPr>
        <w:t>for infringement of patents, trademarks</w:t>
      </w:r>
      <w:r>
        <w:rPr>
          <w:lang w:val="en-GB"/>
        </w:rPr>
        <w:t>, designs</w:t>
      </w:r>
      <w:r w:rsidRPr="003765AE">
        <w:rPr>
          <w:lang w:val="en-GB"/>
        </w:rPr>
        <w:t xml:space="preserve"> and </w:t>
      </w:r>
      <w:r>
        <w:rPr>
          <w:lang w:val="en-GB"/>
        </w:rPr>
        <w:t>copy</w:t>
      </w:r>
      <w:r w:rsidRPr="003765AE">
        <w:rPr>
          <w:lang w:val="en-GB"/>
        </w:rPr>
        <w:t xml:space="preserve">right. </w:t>
      </w:r>
    </w:p>
    <w:p w14:paraId="04F5CD8D" w14:textId="25D33551" w:rsidR="009455BC" w:rsidRPr="003765AE" w:rsidRDefault="005A6025" w:rsidP="009455BC">
      <w:pPr>
        <w:pStyle w:val="Para-1"/>
        <w:rPr>
          <w:lang w:val="en-GB"/>
        </w:rPr>
      </w:pPr>
      <w:r>
        <w:rPr>
          <w:lang w:val="en-GB"/>
        </w:rPr>
        <w:t>I</w:t>
      </w:r>
      <w:r w:rsidR="009455BC" w:rsidRPr="003765AE">
        <w:rPr>
          <w:lang w:val="en-GB"/>
        </w:rPr>
        <w:t xml:space="preserve">nfringement claims that are mainly based on the actions of a single </w:t>
      </w:r>
      <w:r w:rsidR="009455BC">
        <w:rPr>
          <w:lang w:val="en-GB"/>
        </w:rPr>
        <w:t>party</w:t>
      </w:r>
      <w:r w:rsidR="009455BC" w:rsidRPr="003765AE">
        <w:rPr>
          <w:lang w:val="en-GB"/>
        </w:rPr>
        <w:t xml:space="preserve"> are </w:t>
      </w:r>
      <w:r>
        <w:rPr>
          <w:lang w:val="en-GB"/>
        </w:rPr>
        <w:t xml:space="preserve">generally </w:t>
      </w:r>
      <w:r w:rsidR="009455BC" w:rsidRPr="003765AE">
        <w:rPr>
          <w:lang w:val="en-GB"/>
        </w:rPr>
        <w:t xml:space="preserve">addressed by </w:t>
      </w:r>
      <w:r>
        <w:rPr>
          <w:lang w:val="en-GB"/>
        </w:rPr>
        <w:t xml:space="preserve">existing </w:t>
      </w:r>
      <w:r w:rsidR="009455BC" w:rsidRPr="003765AE">
        <w:rPr>
          <w:lang w:val="en-GB"/>
        </w:rPr>
        <w:t>IP law</w:t>
      </w:r>
      <w:r>
        <w:rPr>
          <w:lang w:val="en-GB"/>
        </w:rPr>
        <w:t>s</w:t>
      </w:r>
      <w:r w:rsidR="009455BC" w:rsidRPr="003765AE">
        <w:rPr>
          <w:lang w:val="en-GB"/>
        </w:rPr>
        <w:t xml:space="preserve">. However, in some cases, it is difficult, </w:t>
      </w:r>
      <w:r w:rsidR="00C75F46">
        <w:rPr>
          <w:lang w:val="en-GB"/>
        </w:rPr>
        <w:t xml:space="preserve">impractical or </w:t>
      </w:r>
      <w:r w:rsidR="009455BC" w:rsidRPr="003765AE">
        <w:rPr>
          <w:lang w:val="en-GB"/>
        </w:rPr>
        <w:t xml:space="preserve">impossible for a single </w:t>
      </w:r>
      <w:r w:rsidR="009455BC">
        <w:rPr>
          <w:lang w:val="en-GB"/>
        </w:rPr>
        <w:t>party</w:t>
      </w:r>
      <w:r w:rsidR="009455BC" w:rsidRPr="003765AE">
        <w:rPr>
          <w:lang w:val="en-GB"/>
        </w:rPr>
        <w:t xml:space="preserve"> to infringe </w:t>
      </w:r>
      <w:r>
        <w:rPr>
          <w:lang w:val="en-GB"/>
        </w:rPr>
        <w:t xml:space="preserve">the </w:t>
      </w:r>
      <w:r w:rsidR="003B7A12">
        <w:rPr>
          <w:lang w:val="en-GB"/>
        </w:rPr>
        <w:t>intellectual property rights (</w:t>
      </w:r>
      <w:r w:rsidR="003B7A12" w:rsidRPr="005A6025">
        <w:rPr>
          <w:b/>
          <w:i/>
          <w:lang w:val="en-GB"/>
        </w:rPr>
        <w:t>IPR</w:t>
      </w:r>
      <w:r w:rsidRPr="005A6025">
        <w:rPr>
          <w:b/>
          <w:i/>
          <w:lang w:val="en-GB"/>
        </w:rPr>
        <w:t>s</w:t>
      </w:r>
      <w:r w:rsidR="003B7A12">
        <w:rPr>
          <w:lang w:val="en-GB"/>
        </w:rPr>
        <w:t xml:space="preserve">) in </w:t>
      </w:r>
      <w:r w:rsidR="009455BC" w:rsidRPr="003765AE">
        <w:rPr>
          <w:lang w:val="en-GB"/>
        </w:rPr>
        <w:t>protected subject matter. In other cases, a</w:t>
      </w:r>
      <w:r w:rsidR="009455BC">
        <w:rPr>
          <w:lang w:val="en-GB"/>
        </w:rPr>
        <w:t xml:space="preserve"> party</w:t>
      </w:r>
      <w:r w:rsidR="009455BC" w:rsidRPr="003765AE">
        <w:rPr>
          <w:lang w:val="en-GB"/>
        </w:rPr>
        <w:t xml:space="preserve"> may not themselves </w:t>
      </w:r>
      <w:r w:rsidR="003B7A12">
        <w:rPr>
          <w:lang w:val="en-GB"/>
        </w:rPr>
        <w:t xml:space="preserve">be </w:t>
      </w:r>
      <w:r w:rsidR="009455BC" w:rsidRPr="003765AE">
        <w:rPr>
          <w:lang w:val="en-GB"/>
        </w:rPr>
        <w:t xml:space="preserve">infringing </w:t>
      </w:r>
      <w:r w:rsidR="003B7A12">
        <w:rPr>
          <w:lang w:val="en-GB"/>
        </w:rPr>
        <w:t xml:space="preserve">an </w:t>
      </w:r>
      <w:r w:rsidR="009455BC" w:rsidRPr="003765AE">
        <w:rPr>
          <w:lang w:val="en-GB"/>
        </w:rPr>
        <w:t>IP</w:t>
      </w:r>
      <w:r w:rsidR="003B7A12">
        <w:rPr>
          <w:lang w:val="en-GB"/>
        </w:rPr>
        <w:t>R</w:t>
      </w:r>
      <w:r w:rsidR="009455BC" w:rsidRPr="003765AE">
        <w:rPr>
          <w:lang w:val="en-GB"/>
        </w:rPr>
        <w:t>, but</w:t>
      </w:r>
      <w:r w:rsidR="003B7A12">
        <w:rPr>
          <w:lang w:val="en-GB"/>
        </w:rPr>
        <w:t xml:space="preserve"> may</w:t>
      </w:r>
      <w:r w:rsidR="009455BC" w:rsidRPr="003765AE">
        <w:rPr>
          <w:lang w:val="en-GB"/>
        </w:rPr>
        <w:t xml:space="preserve"> contract </w:t>
      </w:r>
      <w:r w:rsidR="003B7A12">
        <w:rPr>
          <w:lang w:val="en-GB"/>
        </w:rPr>
        <w:t>with, or</w:t>
      </w:r>
      <w:r w:rsidR="009455BC" w:rsidRPr="003765AE">
        <w:rPr>
          <w:lang w:val="en-GB"/>
        </w:rPr>
        <w:t xml:space="preserve"> employ or instruct others</w:t>
      </w:r>
      <w:r w:rsidR="003B7A12">
        <w:rPr>
          <w:lang w:val="en-GB"/>
        </w:rPr>
        <w:t>,</w:t>
      </w:r>
      <w:r w:rsidR="009455BC" w:rsidRPr="003765AE">
        <w:rPr>
          <w:lang w:val="en-GB"/>
        </w:rPr>
        <w:t xml:space="preserve"> </w:t>
      </w:r>
      <w:r w:rsidR="009455BC">
        <w:rPr>
          <w:lang w:val="en-GB"/>
        </w:rPr>
        <w:t xml:space="preserve">to perform some or all of the </w:t>
      </w:r>
      <w:r w:rsidR="009455BC" w:rsidRPr="003765AE">
        <w:rPr>
          <w:lang w:val="en-GB"/>
        </w:rPr>
        <w:t xml:space="preserve">infringing acts </w:t>
      </w:r>
      <w:r>
        <w:rPr>
          <w:lang w:val="en-GB"/>
        </w:rPr>
        <w:t xml:space="preserve">and thereby </w:t>
      </w:r>
      <w:r w:rsidR="009455BC" w:rsidRPr="003765AE">
        <w:rPr>
          <w:lang w:val="en-GB"/>
        </w:rPr>
        <w:t xml:space="preserve">escape </w:t>
      </w:r>
      <w:r w:rsidR="003B7A12">
        <w:rPr>
          <w:lang w:val="en-GB"/>
        </w:rPr>
        <w:t xml:space="preserve">liability for </w:t>
      </w:r>
      <w:r w:rsidR="009455BC" w:rsidRPr="003765AE">
        <w:rPr>
          <w:lang w:val="en-GB"/>
        </w:rPr>
        <w:t>direct or indirect IP</w:t>
      </w:r>
      <w:r w:rsidR="00C75F46">
        <w:rPr>
          <w:lang w:val="en-GB"/>
        </w:rPr>
        <w:t>R</w:t>
      </w:r>
      <w:r w:rsidR="009455BC" w:rsidRPr="003765AE">
        <w:rPr>
          <w:lang w:val="en-GB"/>
        </w:rPr>
        <w:t xml:space="preserve"> infringement. In these circumstances, </w:t>
      </w:r>
      <w:r w:rsidR="003B7A12">
        <w:rPr>
          <w:lang w:val="en-GB"/>
        </w:rPr>
        <w:t xml:space="preserve">it may only be possible </w:t>
      </w:r>
      <w:r>
        <w:rPr>
          <w:lang w:val="en-GB"/>
        </w:rPr>
        <w:t xml:space="preserve">to find infringement </w:t>
      </w:r>
      <w:r w:rsidR="009455BC" w:rsidRPr="003765AE">
        <w:rPr>
          <w:lang w:val="en-GB"/>
        </w:rPr>
        <w:t xml:space="preserve">by combining the actions of more than one </w:t>
      </w:r>
      <w:r w:rsidR="009455BC">
        <w:rPr>
          <w:lang w:val="en-GB"/>
        </w:rPr>
        <w:t>party</w:t>
      </w:r>
      <w:r w:rsidR="003B7A12">
        <w:rPr>
          <w:lang w:val="en-GB"/>
        </w:rPr>
        <w:t>. This is</w:t>
      </w:r>
      <w:r w:rsidR="009455BC" w:rsidRPr="003765AE">
        <w:rPr>
          <w:lang w:val="en-GB"/>
        </w:rPr>
        <w:t xml:space="preserve"> commonly </w:t>
      </w:r>
      <w:r w:rsidR="003B7A12">
        <w:rPr>
          <w:lang w:val="en-GB"/>
        </w:rPr>
        <w:t>referred to as "</w:t>
      </w:r>
      <w:r w:rsidR="009455BC" w:rsidRPr="003765AE">
        <w:rPr>
          <w:lang w:val="en-GB"/>
        </w:rPr>
        <w:t>joint infringement</w:t>
      </w:r>
      <w:r w:rsidR="003B7A12">
        <w:rPr>
          <w:lang w:val="en-GB"/>
        </w:rPr>
        <w:t>"</w:t>
      </w:r>
      <w:r w:rsidR="009455BC" w:rsidRPr="003765AE">
        <w:rPr>
          <w:lang w:val="en-GB"/>
        </w:rPr>
        <w:t xml:space="preserve">, </w:t>
      </w:r>
      <w:r w:rsidR="003B7A12">
        <w:rPr>
          <w:lang w:val="en-GB"/>
        </w:rPr>
        <w:t xml:space="preserve">and can </w:t>
      </w:r>
      <w:r w:rsidR="009455BC" w:rsidRPr="003765AE">
        <w:rPr>
          <w:lang w:val="en-GB"/>
        </w:rPr>
        <w:t>create significant problems for courts</w:t>
      </w:r>
      <w:r w:rsidR="003B7A12">
        <w:rPr>
          <w:lang w:val="en-GB"/>
        </w:rPr>
        <w:t xml:space="preserve"> and IP right holders</w:t>
      </w:r>
      <w:r w:rsidR="009455BC" w:rsidRPr="003765AE">
        <w:rPr>
          <w:lang w:val="en-GB"/>
        </w:rPr>
        <w:t xml:space="preserve">. </w:t>
      </w:r>
    </w:p>
    <w:p w14:paraId="034AD8E5" w14:textId="77777777" w:rsidR="003B7EF5" w:rsidRPr="003B7EF5" w:rsidRDefault="003B7EF5" w:rsidP="00CC7413">
      <w:pPr>
        <w:pStyle w:val="HeadingBold"/>
      </w:pPr>
      <w:r>
        <w:t>Why AIPPI considers this an important area of study</w:t>
      </w:r>
    </w:p>
    <w:p w14:paraId="2CE3E1B6" w14:textId="02E3AE76" w:rsidR="009455BC" w:rsidRPr="009D0ADB" w:rsidRDefault="009455BC" w:rsidP="009455BC">
      <w:pPr>
        <w:pStyle w:val="Para-1"/>
        <w:rPr>
          <w:lang w:val="en-GB"/>
        </w:rPr>
      </w:pPr>
      <w:r>
        <w:rPr>
          <w:lang w:val="en-GB"/>
        </w:rPr>
        <w:t>There is c</w:t>
      </w:r>
      <w:r w:rsidRPr="009D0ADB">
        <w:rPr>
          <w:lang w:val="en-GB"/>
        </w:rPr>
        <w:t>urrently a lack of harmonisation as to whether there is any liability</w:t>
      </w:r>
      <w:r>
        <w:rPr>
          <w:lang w:val="en-GB"/>
        </w:rPr>
        <w:t xml:space="preserve"> for joint infringement scenarios. In particular, </w:t>
      </w:r>
      <w:r w:rsidRPr="009D0ADB">
        <w:rPr>
          <w:lang w:val="en-GB"/>
        </w:rPr>
        <w:t>the basis for any liability and the circumstances in which any liability may exist</w:t>
      </w:r>
      <w:r>
        <w:rPr>
          <w:lang w:val="en-GB"/>
        </w:rPr>
        <w:t xml:space="preserve"> significantly </w:t>
      </w:r>
      <w:r w:rsidR="00C75F46">
        <w:rPr>
          <w:lang w:val="en-GB"/>
        </w:rPr>
        <w:t>varies</w:t>
      </w:r>
      <w:r>
        <w:rPr>
          <w:lang w:val="en-GB"/>
        </w:rPr>
        <w:t xml:space="preserve"> among</w:t>
      </w:r>
      <w:r w:rsidR="005A6025">
        <w:rPr>
          <w:lang w:val="en-GB"/>
        </w:rPr>
        <w:t>st</w:t>
      </w:r>
      <w:r>
        <w:rPr>
          <w:lang w:val="en-GB"/>
        </w:rPr>
        <w:t xml:space="preserve"> jurisdictions.</w:t>
      </w:r>
    </w:p>
    <w:p w14:paraId="3D56C056" w14:textId="49AC14C0" w:rsidR="009455BC" w:rsidRPr="00B75817" w:rsidRDefault="009455BC" w:rsidP="009455BC">
      <w:pPr>
        <w:pStyle w:val="Para-1"/>
        <w:rPr>
          <w:rFonts w:cs="Arial"/>
          <w:lang w:val="en-US"/>
        </w:rPr>
      </w:pPr>
      <w:r w:rsidRPr="00B75817">
        <w:rPr>
          <w:lang w:val="en-GB"/>
        </w:rPr>
        <w:t xml:space="preserve">The lack of a comprehensive and consistent doctrine on </w:t>
      </w:r>
      <w:r w:rsidR="00AB0815">
        <w:rPr>
          <w:lang w:val="en-GB"/>
        </w:rPr>
        <w:t>joint liability</w:t>
      </w:r>
      <w:r w:rsidRPr="00B75817">
        <w:rPr>
          <w:lang w:val="en-GB"/>
        </w:rPr>
        <w:t xml:space="preserve"> may lead to the situation – in particular in cross-border</w:t>
      </w:r>
      <w:r w:rsidR="00841661">
        <w:rPr>
          <w:lang w:val="en-GB"/>
        </w:rPr>
        <w:t xml:space="preserve"> </w:t>
      </w:r>
      <w:r w:rsidRPr="00B75817">
        <w:rPr>
          <w:lang w:val="en-GB"/>
        </w:rPr>
        <w:t>/</w:t>
      </w:r>
      <w:r w:rsidR="00841661">
        <w:rPr>
          <w:lang w:val="en-GB"/>
        </w:rPr>
        <w:t xml:space="preserve"> </w:t>
      </w:r>
      <w:r w:rsidRPr="00B75817">
        <w:rPr>
          <w:lang w:val="en-GB"/>
        </w:rPr>
        <w:t xml:space="preserve">international scenarios – that </w:t>
      </w:r>
      <w:r>
        <w:rPr>
          <w:lang w:val="en-GB"/>
        </w:rPr>
        <w:t>parties</w:t>
      </w:r>
      <w:r w:rsidRPr="00B75817">
        <w:rPr>
          <w:lang w:val="en-GB"/>
        </w:rPr>
        <w:t xml:space="preserve"> involved in </w:t>
      </w:r>
      <w:r w:rsidR="005A6025">
        <w:rPr>
          <w:lang w:val="en-GB"/>
        </w:rPr>
        <w:t xml:space="preserve">IPR </w:t>
      </w:r>
      <w:r w:rsidRPr="00B75817">
        <w:rPr>
          <w:lang w:val="en-GB"/>
        </w:rPr>
        <w:t>infringement may escape liability entirely</w:t>
      </w:r>
      <w:r w:rsidR="005A6025">
        <w:rPr>
          <w:lang w:val="en-GB"/>
        </w:rPr>
        <w:t>. A</w:t>
      </w:r>
      <w:r w:rsidRPr="00B75817">
        <w:rPr>
          <w:lang w:val="en-GB"/>
        </w:rPr>
        <w:t xml:space="preserve">lternatively, they may be held liable for the same activity in more than one jurisdiction. </w:t>
      </w:r>
      <w:r w:rsidR="005A6025">
        <w:rPr>
          <w:lang w:val="en-GB"/>
        </w:rPr>
        <w:t xml:space="preserve">Either scenario </w:t>
      </w:r>
      <w:r w:rsidRPr="00B75817">
        <w:rPr>
          <w:lang w:val="en-GB"/>
        </w:rPr>
        <w:t xml:space="preserve">results in potential imbalance between the appropriate relief (including compensation) to the </w:t>
      </w:r>
      <w:r w:rsidR="005A6025">
        <w:rPr>
          <w:lang w:val="en-GB"/>
        </w:rPr>
        <w:t>IPR</w:t>
      </w:r>
      <w:r w:rsidRPr="00B75817">
        <w:rPr>
          <w:lang w:val="en-GB"/>
        </w:rPr>
        <w:t xml:space="preserve"> holder and the allocation of liability to those responsible for the relevant acts.</w:t>
      </w:r>
    </w:p>
    <w:p w14:paraId="3CC9CB62" w14:textId="77777777" w:rsidR="00675506" w:rsidRDefault="00BF3452" w:rsidP="00CC7413">
      <w:pPr>
        <w:pStyle w:val="HeadingBold"/>
        <w:rPr>
          <w:lang w:val="en-GB"/>
        </w:rPr>
      </w:pPr>
      <w:r>
        <w:rPr>
          <w:lang w:val="en-GB"/>
        </w:rPr>
        <w:t>Relevant treaty provisions</w:t>
      </w:r>
    </w:p>
    <w:p w14:paraId="4F45C4F3" w14:textId="314445A8" w:rsidR="009455BC" w:rsidRDefault="009455BC" w:rsidP="009455BC">
      <w:pPr>
        <w:pStyle w:val="Para-1"/>
      </w:pPr>
      <w:r w:rsidRPr="00AF24CF">
        <w:rPr>
          <w:lang w:val="en-GB"/>
        </w:rPr>
        <w:t>TRIPS</w:t>
      </w:r>
      <w:r w:rsidRPr="00AF24CF">
        <w:t xml:space="preserve"> defines direct infringement, but is silent o</w:t>
      </w:r>
      <w:r w:rsidR="00300ACC">
        <w:t xml:space="preserve">n what constitutes indirect or </w:t>
      </w:r>
      <w:r w:rsidR="00AB0815">
        <w:t>c</w:t>
      </w:r>
      <w:r w:rsidR="00300ACC">
        <w:t xml:space="preserve">ontributory </w:t>
      </w:r>
      <w:r w:rsidR="00AB0815">
        <w:t>i</w:t>
      </w:r>
      <w:r w:rsidRPr="00AF24CF">
        <w:t>nfringement. Nonetheless, Art</w:t>
      </w:r>
      <w:r w:rsidR="005A6025">
        <w:t>icle</w:t>
      </w:r>
      <w:r w:rsidRPr="00AF24CF">
        <w:t xml:space="preserve"> 41 (1) </w:t>
      </w:r>
      <w:r>
        <w:t>TRIP</w:t>
      </w:r>
      <w:r w:rsidR="00C75F46">
        <w:t>S</w:t>
      </w:r>
      <w:r>
        <w:t xml:space="preserve"> </w:t>
      </w:r>
      <w:r w:rsidRPr="00AF24CF">
        <w:t xml:space="preserve">requires that there be effective action available against </w:t>
      </w:r>
      <w:r>
        <w:t>“any”</w:t>
      </w:r>
      <w:r w:rsidRPr="00AF24CF">
        <w:t xml:space="preserve"> act of infringement</w:t>
      </w:r>
      <w:r>
        <w:t>.</w:t>
      </w:r>
    </w:p>
    <w:p w14:paraId="42A188AD" w14:textId="04F0C9E6" w:rsidR="009455BC" w:rsidRPr="00AF24CF" w:rsidRDefault="009455BC" w:rsidP="009455BC">
      <w:pPr>
        <w:pStyle w:val="Para-1"/>
        <w:rPr>
          <w:rFonts w:cs="Arial"/>
          <w:lang w:val="en-US"/>
        </w:rPr>
      </w:pPr>
      <w:r w:rsidRPr="00AF24CF">
        <w:rPr>
          <w:lang w:val="en-GB"/>
        </w:rPr>
        <w:lastRenderedPageBreak/>
        <w:t xml:space="preserve">The European Patent Convention (EPC) and the Unified Patent Court Agreement (UPCA) do not contain provisions governing joint tortfeasorship. Further, the Vienna Convention on International Sale of Goods does not set forth provision for </w:t>
      </w:r>
      <w:r w:rsidR="00AB0815">
        <w:rPr>
          <w:lang w:val="en-GB"/>
        </w:rPr>
        <w:t>joint liability</w:t>
      </w:r>
      <w:r>
        <w:rPr>
          <w:lang w:val="en-GB"/>
        </w:rPr>
        <w:t>.</w:t>
      </w:r>
    </w:p>
    <w:p w14:paraId="403CFEDC" w14:textId="77777777" w:rsidR="00BF3452" w:rsidRDefault="00BF3452" w:rsidP="00CC7413">
      <w:pPr>
        <w:pStyle w:val="HeadingBold"/>
        <w:rPr>
          <w:lang w:val="en-GB"/>
        </w:rPr>
      </w:pPr>
      <w:r>
        <w:rPr>
          <w:lang w:val="en-GB"/>
        </w:rPr>
        <w:t>Scope of this Study Question</w:t>
      </w:r>
    </w:p>
    <w:p w14:paraId="4BF68F6A" w14:textId="17BB58A4" w:rsidR="009455BC" w:rsidRPr="003765AE" w:rsidRDefault="009455BC" w:rsidP="009455BC">
      <w:pPr>
        <w:pStyle w:val="Para-1"/>
        <w:rPr>
          <w:lang w:val="en-GB"/>
        </w:rPr>
      </w:pPr>
      <w:r w:rsidRPr="003765AE">
        <w:rPr>
          <w:lang w:val="en-GB"/>
        </w:rPr>
        <w:t>This Study Question examine</w:t>
      </w:r>
      <w:r>
        <w:rPr>
          <w:lang w:val="en-GB"/>
        </w:rPr>
        <w:t>s</w:t>
      </w:r>
      <w:r w:rsidRPr="003765AE">
        <w:rPr>
          <w:lang w:val="en-GB"/>
        </w:rPr>
        <w:t xml:space="preserve"> situations </w:t>
      </w:r>
      <w:r>
        <w:rPr>
          <w:lang w:val="en-GB"/>
        </w:rPr>
        <w:t xml:space="preserve">where acts of a party do </w:t>
      </w:r>
      <w:r w:rsidRPr="00D97776">
        <w:rPr>
          <w:u w:val="single"/>
          <w:lang w:val="en-GB"/>
        </w:rPr>
        <w:t>not</w:t>
      </w:r>
      <w:r>
        <w:rPr>
          <w:lang w:val="en-GB"/>
        </w:rPr>
        <w:t xml:space="preserve"> qualify as </w:t>
      </w:r>
      <w:r w:rsidRPr="00280173">
        <w:rPr>
          <w:u w:val="single"/>
          <w:lang w:val="en-GB"/>
        </w:rPr>
        <w:t>direct or “contributory” infringement</w:t>
      </w:r>
      <w:r w:rsidRPr="003765AE">
        <w:rPr>
          <w:lang w:val="en-GB"/>
        </w:rPr>
        <w:t xml:space="preserve"> </w:t>
      </w:r>
      <w:r>
        <w:rPr>
          <w:lang w:val="en-GB"/>
        </w:rPr>
        <w:t>(as defined below)</w:t>
      </w:r>
      <w:r w:rsidRPr="003765AE">
        <w:rPr>
          <w:lang w:val="en-GB"/>
        </w:rPr>
        <w:t xml:space="preserve">, but the </w:t>
      </w:r>
      <w:r>
        <w:rPr>
          <w:lang w:val="en-GB"/>
        </w:rPr>
        <w:t>party</w:t>
      </w:r>
      <w:r w:rsidRPr="003765AE">
        <w:rPr>
          <w:lang w:val="en-GB"/>
        </w:rPr>
        <w:t xml:space="preserve"> may nonetheless be </w:t>
      </w:r>
      <w:r>
        <w:rPr>
          <w:lang w:val="en-GB"/>
        </w:rPr>
        <w:t xml:space="preserve">held </w:t>
      </w:r>
      <w:r w:rsidRPr="003765AE">
        <w:rPr>
          <w:lang w:val="en-GB"/>
        </w:rPr>
        <w:t xml:space="preserve">liable for such </w:t>
      </w:r>
      <w:r>
        <w:rPr>
          <w:lang w:val="en-GB"/>
        </w:rPr>
        <w:t>acts</w:t>
      </w:r>
      <w:r w:rsidRPr="003765AE">
        <w:rPr>
          <w:lang w:val="en-GB"/>
        </w:rPr>
        <w:t xml:space="preserve"> because </w:t>
      </w:r>
      <w:r>
        <w:rPr>
          <w:lang w:val="en-GB"/>
        </w:rPr>
        <w:t>th</w:t>
      </w:r>
      <w:r w:rsidR="005A6025">
        <w:rPr>
          <w:lang w:val="en-GB"/>
        </w:rPr>
        <w:t>os</w:t>
      </w:r>
      <w:r>
        <w:rPr>
          <w:lang w:val="en-GB"/>
        </w:rPr>
        <w:t>e acts effectively endanger the exclusivity right provided by an IPR, if</w:t>
      </w:r>
      <w:r w:rsidRPr="003765AE">
        <w:rPr>
          <w:lang w:val="en-GB"/>
        </w:rPr>
        <w:t xml:space="preserve"> combined wi</w:t>
      </w:r>
      <w:r>
        <w:rPr>
          <w:lang w:val="en-GB"/>
        </w:rPr>
        <w:t>th the acts of others</w:t>
      </w:r>
      <w:r w:rsidRPr="003765AE">
        <w:rPr>
          <w:lang w:val="en-GB"/>
        </w:rPr>
        <w:t xml:space="preserve">. </w:t>
      </w:r>
    </w:p>
    <w:p w14:paraId="4CE8B74A" w14:textId="674D0439" w:rsidR="009455BC" w:rsidRDefault="009455BC" w:rsidP="009455BC">
      <w:pPr>
        <w:pStyle w:val="Para-1"/>
        <w:rPr>
          <w:lang w:val="en-US"/>
        </w:rPr>
      </w:pPr>
      <w:r>
        <w:rPr>
          <w:lang w:val="en-US"/>
        </w:rPr>
        <w:t xml:space="preserve">In </w:t>
      </w:r>
      <w:r w:rsidR="003B7A12">
        <w:rPr>
          <w:lang w:val="en-US"/>
        </w:rPr>
        <w:t xml:space="preserve">AIPPI's Resolution on </w:t>
      </w:r>
      <w:r>
        <w:rPr>
          <w:lang w:val="en-US"/>
        </w:rPr>
        <w:t>Q204</w:t>
      </w:r>
      <w:r w:rsidR="003B7A12">
        <w:rPr>
          <w:lang w:val="en-US"/>
        </w:rPr>
        <w:t xml:space="preserve"> – "Liability for </w:t>
      </w:r>
      <w:r w:rsidR="00AB0815">
        <w:t>contributory i</w:t>
      </w:r>
      <w:r w:rsidR="00AB0815" w:rsidRPr="00AF24CF">
        <w:t>nfringement</w:t>
      </w:r>
      <w:r w:rsidR="003B7A12">
        <w:rPr>
          <w:lang w:val="en-US"/>
        </w:rPr>
        <w:t xml:space="preserve"> of IPRs</w:t>
      </w:r>
      <w:r>
        <w:rPr>
          <w:lang w:val="en-US"/>
        </w:rPr>
        <w:t>”</w:t>
      </w:r>
      <w:r w:rsidR="003B7A12">
        <w:rPr>
          <w:lang w:val="en-US"/>
        </w:rPr>
        <w:t xml:space="preserve"> (Boston, 2008)</w:t>
      </w:r>
      <w:r w:rsidR="00F8452B">
        <w:rPr>
          <w:lang w:val="en-US"/>
        </w:rPr>
        <w:t xml:space="preserve"> </w:t>
      </w:r>
      <w:r w:rsidR="005A6025">
        <w:rPr>
          <w:lang w:val="en-US"/>
        </w:rPr>
        <w:t>"</w:t>
      </w:r>
      <w:r w:rsidR="00AB0815">
        <w:t>contributory i</w:t>
      </w:r>
      <w:r w:rsidR="00AB0815" w:rsidRPr="00AF24CF">
        <w:t>nfringement</w:t>
      </w:r>
      <w:r w:rsidR="005A6025">
        <w:rPr>
          <w:lang w:val="en-US"/>
        </w:rPr>
        <w:t xml:space="preserve">" </w:t>
      </w:r>
      <w:r w:rsidR="00C75F46">
        <w:rPr>
          <w:lang w:val="en-US"/>
        </w:rPr>
        <w:t xml:space="preserve">was defined </w:t>
      </w:r>
      <w:r w:rsidR="005A6025">
        <w:rPr>
          <w:lang w:val="en-US"/>
        </w:rPr>
        <w:t xml:space="preserve">as a </w:t>
      </w:r>
      <w:r w:rsidR="001E0EAA">
        <w:rPr>
          <w:lang w:val="en-US"/>
        </w:rPr>
        <w:t>species</w:t>
      </w:r>
      <w:r w:rsidR="005A6025">
        <w:rPr>
          <w:lang w:val="en-US"/>
        </w:rPr>
        <w:t xml:space="preserve"> of </w:t>
      </w:r>
      <w:r w:rsidR="00AB0815">
        <w:rPr>
          <w:lang w:val="en-US"/>
        </w:rPr>
        <w:t>i</w:t>
      </w:r>
      <w:r w:rsidR="0017652D">
        <w:t xml:space="preserve">ndirect </w:t>
      </w:r>
      <w:r w:rsidR="00AB0815">
        <w:t>i</w:t>
      </w:r>
      <w:r w:rsidR="0017652D">
        <w:t>nfringement</w:t>
      </w:r>
      <w:r w:rsidR="005A6025">
        <w:rPr>
          <w:lang w:val="en-US"/>
        </w:rPr>
        <w:t xml:space="preserve">, </w:t>
      </w:r>
      <w:r>
        <w:rPr>
          <w:lang w:val="en-US"/>
        </w:rPr>
        <w:t>as follows:</w:t>
      </w:r>
      <w:r w:rsidR="00F8452B">
        <w:rPr>
          <w:lang w:val="en-US"/>
        </w:rPr>
        <w:t xml:space="preserve"> </w:t>
      </w:r>
    </w:p>
    <w:p w14:paraId="5423DD4D" w14:textId="496D754F" w:rsidR="0049747E" w:rsidRPr="0049747E" w:rsidRDefault="0049747E" w:rsidP="0049747E">
      <w:pPr>
        <w:ind w:left="1440"/>
        <w:rPr>
          <w:i/>
        </w:rPr>
      </w:pPr>
      <w:r w:rsidRPr="0049747E">
        <w:rPr>
          <w:i/>
        </w:rPr>
        <w:t>… [comprising] only the form of indirect infringement consisting in the offering or supply of means suitable for committing an act that is a direct infringement of an IPR; "</w:t>
      </w:r>
      <w:r w:rsidR="00300ACC">
        <w:rPr>
          <w:i/>
        </w:rPr>
        <w:t>c</w:t>
      </w:r>
      <w:r w:rsidR="00300ACC" w:rsidRPr="00300ACC">
        <w:rPr>
          <w:i/>
        </w:rPr>
        <w:t xml:space="preserve">ontributory </w:t>
      </w:r>
      <w:r w:rsidR="00300ACC">
        <w:rPr>
          <w:i/>
        </w:rPr>
        <w:t>i</w:t>
      </w:r>
      <w:r w:rsidR="00300ACC" w:rsidRPr="00300ACC">
        <w:rPr>
          <w:i/>
        </w:rPr>
        <w:t>nfringement</w:t>
      </w:r>
      <w:r w:rsidRPr="0049747E">
        <w:rPr>
          <w:i/>
        </w:rPr>
        <w:t>" shall not include other acts known as indirect infringements, such as inducement or the provision of or other assistance than the offering or supply of means for committing a direct infringement.</w:t>
      </w:r>
    </w:p>
    <w:p w14:paraId="2950438F" w14:textId="2AF02ECB" w:rsidR="0049747E" w:rsidRDefault="0049747E" w:rsidP="0049747E">
      <w:pPr>
        <w:pStyle w:val="Para-1"/>
        <w:rPr>
          <w:lang w:val="en-US"/>
        </w:rPr>
      </w:pPr>
      <w:r w:rsidRPr="0049747E">
        <w:rPr>
          <w:lang w:val="en-US"/>
        </w:rPr>
        <w:t xml:space="preserve">In </w:t>
      </w:r>
      <w:r w:rsidR="005A6025">
        <w:rPr>
          <w:lang w:val="en-US"/>
        </w:rPr>
        <w:t xml:space="preserve">paragraph 3 of </w:t>
      </w:r>
      <w:r w:rsidRPr="0049747E">
        <w:rPr>
          <w:lang w:val="en-US"/>
        </w:rPr>
        <w:t>Resolution Q204, AIPPI resolved that</w:t>
      </w:r>
      <w:r w:rsidR="005A6025">
        <w:rPr>
          <w:lang w:val="en-US"/>
        </w:rPr>
        <w:t xml:space="preserve"> (emphasis added)</w:t>
      </w:r>
      <w:r w:rsidRPr="0049747E">
        <w:rPr>
          <w:lang w:val="en-US"/>
        </w:rPr>
        <w:t>:</w:t>
      </w:r>
    </w:p>
    <w:p w14:paraId="1BB5CCD6" w14:textId="67BF98DA" w:rsidR="0049747E" w:rsidRPr="00C75F46" w:rsidRDefault="0049747E" w:rsidP="0049747E">
      <w:pPr>
        <w:ind w:left="1440"/>
        <w:rPr>
          <w:i/>
        </w:rPr>
      </w:pPr>
      <w:r w:rsidRPr="00C75F46">
        <w:rPr>
          <w:i/>
        </w:rPr>
        <w:t>The basic principles for contributory infringement should include that:</w:t>
      </w:r>
    </w:p>
    <w:p w14:paraId="3B89C72A" w14:textId="77777777" w:rsidR="009455BC" w:rsidRPr="003765AE" w:rsidRDefault="009455BC" w:rsidP="0049747E">
      <w:pPr>
        <w:pStyle w:val="ListParagraph"/>
        <w:spacing w:before="200" w:after="0"/>
        <w:ind w:left="2829" w:hanging="703"/>
        <w:contextualSpacing w:val="0"/>
        <w:jc w:val="both"/>
        <w:rPr>
          <w:rFonts w:ascii="Arial" w:hAnsi="Arial" w:cs="Arial"/>
          <w:i/>
          <w:lang w:val="en-US"/>
        </w:rPr>
      </w:pPr>
      <w:r w:rsidRPr="003765AE">
        <w:rPr>
          <w:rFonts w:ascii="Arial" w:hAnsi="Arial" w:cs="Arial"/>
          <w:i/>
          <w:lang w:val="en-US"/>
        </w:rPr>
        <w:t xml:space="preserve">- </w:t>
      </w:r>
      <w:r>
        <w:rPr>
          <w:rFonts w:ascii="Arial" w:hAnsi="Arial" w:cs="Arial"/>
          <w:i/>
          <w:lang w:val="en-US"/>
        </w:rPr>
        <w:tab/>
      </w:r>
      <w:r w:rsidRPr="003765AE">
        <w:rPr>
          <w:rFonts w:ascii="Arial" w:hAnsi="Arial" w:cs="Arial"/>
          <w:i/>
          <w:lang w:val="en-US"/>
        </w:rPr>
        <w:t xml:space="preserve">the means supplied or offered by the contributory infringer </w:t>
      </w:r>
      <w:r w:rsidRPr="003765AE">
        <w:rPr>
          <w:rFonts w:ascii="Arial" w:hAnsi="Arial" w:cs="Arial"/>
          <w:i/>
          <w:u w:val="single"/>
          <w:lang w:val="en-US"/>
        </w:rPr>
        <w:t>related to a substantial element of the subject matter</w:t>
      </w:r>
      <w:r w:rsidRPr="003765AE">
        <w:rPr>
          <w:rFonts w:ascii="Arial" w:hAnsi="Arial" w:cs="Arial"/>
          <w:i/>
          <w:lang w:val="en-US"/>
        </w:rPr>
        <w:t xml:space="preserve"> of the protected IPR; </w:t>
      </w:r>
    </w:p>
    <w:p w14:paraId="2FAA65D5" w14:textId="77777777" w:rsidR="009455BC" w:rsidRPr="003765AE" w:rsidRDefault="009455BC" w:rsidP="0049747E">
      <w:pPr>
        <w:pStyle w:val="ListParagraph"/>
        <w:spacing w:before="200" w:after="0"/>
        <w:ind w:left="2829" w:hanging="703"/>
        <w:contextualSpacing w:val="0"/>
        <w:jc w:val="both"/>
        <w:rPr>
          <w:rFonts w:ascii="Arial" w:hAnsi="Arial" w:cs="Arial"/>
          <w:i/>
          <w:lang w:val="en-US"/>
        </w:rPr>
      </w:pPr>
      <w:r w:rsidRPr="003765AE">
        <w:rPr>
          <w:rFonts w:ascii="Arial" w:hAnsi="Arial" w:cs="Arial"/>
          <w:i/>
          <w:lang w:val="en-US"/>
        </w:rPr>
        <w:t xml:space="preserve">- </w:t>
      </w:r>
      <w:r>
        <w:rPr>
          <w:rFonts w:ascii="Arial" w:hAnsi="Arial" w:cs="Arial"/>
          <w:i/>
          <w:lang w:val="en-US"/>
        </w:rPr>
        <w:tab/>
      </w:r>
      <w:r w:rsidRPr="003765AE">
        <w:rPr>
          <w:rFonts w:ascii="Arial" w:hAnsi="Arial" w:cs="Arial"/>
          <w:i/>
          <w:lang w:val="en-US"/>
        </w:rPr>
        <w:t xml:space="preserve">the means supplied or offered by the contributory infringer are for an infringing use; </w:t>
      </w:r>
    </w:p>
    <w:p w14:paraId="37117279" w14:textId="77777777" w:rsidR="009455BC" w:rsidRPr="003765AE" w:rsidRDefault="009455BC" w:rsidP="0049747E">
      <w:pPr>
        <w:pStyle w:val="ListParagraph"/>
        <w:spacing w:before="200" w:after="0"/>
        <w:ind w:left="2829" w:hanging="703"/>
        <w:contextualSpacing w:val="0"/>
        <w:jc w:val="both"/>
        <w:rPr>
          <w:rFonts w:ascii="Arial" w:hAnsi="Arial" w:cs="Arial"/>
          <w:i/>
          <w:lang w:val="en-US"/>
        </w:rPr>
      </w:pPr>
      <w:r w:rsidRPr="003765AE">
        <w:rPr>
          <w:rFonts w:ascii="Arial" w:hAnsi="Arial" w:cs="Arial"/>
          <w:i/>
          <w:lang w:val="en-US"/>
        </w:rPr>
        <w:t xml:space="preserve">- </w:t>
      </w:r>
      <w:r>
        <w:rPr>
          <w:rFonts w:ascii="Arial" w:hAnsi="Arial" w:cs="Arial"/>
          <w:i/>
          <w:lang w:val="en-US"/>
        </w:rPr>
        <w:tab/>
      </w:r>
      <w:r w:rsidRPr="003765AE">
        <w:rPr>
          <w:rFonts w:ascii="Arial" w:hAnsi="Arial" w:cs="Arial"/>
          <w:i/>
          <w:lang w:val="en-US"/>
        </w:rPr>
        <w:t xml:space="preserve">at the time of offering or supply, </w:t>
      </w:r>
      <w:r w:rsidRPr="003765AE">
        <w:rPr>
          <w:rFonts w:ascii="Arial" w:hAnsi="Arial" w:cs="Arial"/>
          <w:i/>
          <w:u w:val="single"/>
          <w:lang w:val="en-US"/>
        </w:rPr>
        <w:t>the suitability and intended use were known</w:t>
      </w:r>
      <w:r w:rsidRPr="003765AE">
        <w:rPr>
          <w:rFonts w:ascii="Arial" w:hAnsi="Arial" w:cs="Arial"/>
          <w:i/>
          <w:lang w:val="en-US"/>
        </w:rPr>
        <w:t xml:space="preserve"> to the supplier </w:t>
      </w:r>
      <w:r w:rsidRPr="003765AE">
        <w:rPr>
          <w:rFonts w:ascii="Arial" w:hAnsi="Arial" w:cs="Arial"/>
          <w:i/>
          <w:u w:val="single"/>
          <w:lang w:val="en-US"/>
        </w:rPr>
        <w:t>or obvious</w:t>
      </w:r>
      <w:r w:rsidRPr="003765AE">
        <w:rPr>
          <w:rFonts w:ascii="Arial" w:hAnsi="Arial" w:cs="Arial"/>
          <w:i/>
          <w:lang w:val="en-US"/>
        </w:rPr>
        <w:t xml:space="preserve"> under the circumstances.</w:t>
      </w:r>
    </w:p>
    <w:p w14:paraId="4CC4D465" w14:textId="0C76A8E1" w:rsidR="0049747E" w:rsidRDefault="0049747E" w:rsidP="009455BC">
      <w:pPr>
        <w:pStyle w:val="Para-1"/>
      </w:pPr>
      <w:r>
        <w:t>"</w:t>
      </w:r>
      <w:r w:rsidR="00300ACC">
        <w:t xml:space="preserve">Contributory </w:t>
      </w:r>
      <w:r w:rsidR="00AB0815">
        <w:t>i</w:t>
      </w:r>
      <w:r w:rsidR="00300ACC" w:rsidRPr="00AF24CF">
        <w:t>nfringement</w:t>
      </w:r>
      <w:r>
        <w:t xml:space="preserve">" as defined in Resolution Q204 is </w:t>
      </w:r>
      <w:r w:rsidRPr="00841661">
        <w:rPr>
          <w:u w:val="single"/>
        </w:rPr>
        <w:t>outside</w:t>
      </w:r>
      <w:r>
        <w:t xml:space="preserve"> the scope of this Study Question. However, acts referred to or defined as </w:t>
      </w:r>
      <w:r w:rsidR="005A6025">
        <w:t>"</w:t>
      </w:r>
      <w:r w:rsidR="00AB0815">
        <w:t>indirect infringement</w:t>
      </w:r>
      <w:r w:rsidR="005A6025">
        <w:t>"</w:t>
      </w:r>
      <w:r>
        <w:t xml:space="preserve"> which do not </w:t>
      </w:r>
      <w:r w:rsidR="00841661">
        <w:t>fall</w:t>
      </w:r>
      <w:r>
        <w:t xml:space="preserve"> within the </w:t>
      </w:r>
      <w:r w:rsidR="00C75F46">
        <w:t xml:space="preserve">Resolution Q204 </w:t>
      </w:r>
      <w:r>
        <w:t>definition of "</w:t>
      </w:r>
      <w:r w:rsidR="00AB0815">
        <w:t>contributory i</w:t>
      </w:r>
      <w:r w:rsidR="00AB0815" w:rsidRPr="00AF24CF">
        <w:t>nfringement</w:t>
      </w:r>
      <w:r>
        <w:t xml:space="preserve">" are within the scope of this Study Question. </w:t>
      </w:r>
    </w:p>
    <w:p w14:paraId="248B8C50" w14:textId="26BB702B" w:rsidR="002F538A" w:rsidRPr="002F538A" w:rsidRDefault="001E0EAA" w:rsidP="002F538A">
      <w:pPr>
        <w:pStyle w:val="Para-1"/>
        <w:keepNext/>
      </w:pPr>
      <w:r>
        <w:rPr>
          <w:lang w:val="en-US"/>
        </w:rPr>
        <w:t xml:space="preserve">Accordingly, </w:t>
      </w:r>
      <w:r w:rsidR="00AB0815">
        <w:rPr>
          <w:lang w:val="en-US"/>
        </w:rPr>
        <w:t xml:space="preserve">hereafter </w:t>
      </w:r>
      <w:r>
        <w:rPr>
          <w:lang w:val="en-US"/>
        </w:rPr>
        <w:t>f</w:t>
      </w:r>
      <w:r w:rsidR="002F538A">
        <w:rPr>
          <w:lang w:val="en-US"/>
        </w:rPr>
        <w:t xml:space="preserve">or the purposes of this Study Question: </w:t>
      </w:r>
    </w:p>
    <w:p w14:paraId="27D885FE" w14:textId="18DDC3FA" w:rsidR="001E0EAA" w:rsidRPr="001E0EAA" w:rsidRDefault="00300ACC" w:rsidP="002F538A">
      <w:pPr>
        <w:pStyle w:val="Para-a"/>
      </w:pPr>
      <w:r>
        <w:rPr>
          <w:b/>
          <w:i/>
        </w:rPr>
        <w:t>C</w:t>
      </w:r>
      <w:r w:rsidR="001E0EAA">
        <w:rPr>
          <w:b/>
          <w:i/>
        </w:rPr>
        <w:t xml:space="preserve">ontributory </w:t>
      </w:r>
      <w:r>
        <w:rPr>
          <w:b/>
          <w:i/>
        </w:rPr>
        <w:t>I</w:t>
      </w:r>
      <w:r w:rsidR="001E0EAA">
        <w:rPr>
          <w:b/>
          <w:i/>
        </w:rPr>
        <w:t>nfringement</w:t>
      </w:r>
      <w:r w:rsidR="001E0EAA">
        <w:t xml:space="preserve"> has the meaning given to that term in Resolution Q204 (as set out in paragraphs 8 and 9 above);</w:t>
      </w:r>
    </w:p>
    <w:p w14:paraId="015DB0C8" w14:textId="015B217D" w:rsidR="001E0EAA" w:rsidRDefault="00300ACC" w:rsidP="001E0EAA">
      <w:pPr>
        <w:pStyle w:val="Para-a"/>
      </w:pPr>
      <w:r>
        <w:rPr>
          <w:b/>
          <w:i/>
        </w:rPr>
        <w:t>I</w:t>
      </w:r>
      <w:r w:rsidR="001E0EAA">
        <w:rPr>
          <w:b/>
          <w:i/>
        </w:rPr>
        <w:t xml:space="preserve">ndirect </w:t>
      </w:r>
      <w:r>
        <w:rPr>
          <w:b/>
          <w:i/>
        </w:rPr>
        <w:t>I</w:t>
      </w:r>
      <w:r w:rsidR="001E0EAA">
        <w:rPr>
          <w:b/>
          <w:i/>
        </w:rPr>
        <w:t>nfringement</w:t>
      </w:r>
      <w:r w:rsidR="001E0EAA">
        <w:t xml:space="preserve"> means any infringement that is not direct</w:t>
      </w:r>
      <w:r>
        <w:t xml:space="preserve"> infringement</w:t>
      </w:r>
      <w:r w:rsidR="001E0EAA">
        <w:t>.</w:t>
      </w:r>
    </w:p>
    <w:p w14:paraId="1C97508C" w14:textId="7D3D5A2C" w:rsidR="002F538A" w:rsidRPr="002F538A" w:rsidRDefault="002D6884" w:rsidP="002F538A">
      <w:pPr>
        <w:pStyle w:val="Para-a"/>
      </w:pPr>
      <w:r>
        <w:rPr>
          <w:lang w:val="en-US"/>
        </w:rPr>
        <w:t>a reference to</w:t>
      </w:r>
      <w:r w:rsidR="00841661">
        <w:rPr>
          <w:lang w:val="en-US"/>
        </w:rPr>
        <w:t xml:space="preserve"> </w:t>
      </w:r>
      <w:r w:rsidR="00841661">
        <w:rPr>
          <w:b/>
          <w:i/>
          <w:lang w:val="en-US"/>
        </w:rPr>
        <w:t>Joint Infringement,</w:t>
      </w:r>
      <w:r>
        <w:rPr>
          <w:lang w:val="en-US"/>
        </w:rPr>
        <w:t xml:space="preserve"> </w:t>
      </w:r>
      <w:r w:rsidR="00300ACC">
        <w:rPr>
          <w:b/>
          <w:i/>
          <w:lang w:val="en-US"/>
        </w:rPr>
        <w:t>J</w:t>
      </w:r>
      <w:r w:rsidR="002F538A">
        <w:rPr>
          <w:b/>
          <w:i/>
          <w:lang w:val="en-US"/>
        </w:rPr>
        <w:t xml:space="preserve">oint </w:t>
      </w:r>
      <w:r w:rsidR="00300ACC">
        <w:rPr>
          <w:b/>
          <w:i/>
          <w:lang w:val="en-US"/>
        </w:rPr>
        <w:t>L</w:t>
      </w:r>
      <w:r w:rsidR="002F538A">
        <w:rPr>
          <w:b/>
          <w:i/>
          <w:lang w:val="en-US"/>
        </w:rPr>
        <w:t>iability</w:t>
      </w:r>
      <w:r>
        <w:rPr>
          <w:lang w:val="en-US"/>
        </w:rPr>
        <w:t>,</w:t>
      </w:r>
      <w:r w:rsidR="002F538A">
        <w:rPr>
          <w:b/>
          <w:i/>
          <w:lang w:val="en-US"/>
        </w:rPr>
        <w:t xml:space="preserve"> </w:t>
      </w:r>
      <w:r>
        <w:rPr>
          <w:lang w:val="en-US"/>
        </w:rPr>
        <w:t xml:space="preserve">or </w:t>
      </w:r>
      <w:r>
        <w:rPr>
          <w:b/>
          <w:i/>
          <w:lang w:val="en-US"/>
        </w:rPr>
        <w:t xml:space="preserve">Joint Liability </w:t>
      </w:r>
      <w:r w:rsidR="002F538A">
        <w:rPr>
          <w:b/>
          <w:i/>
          <w:lang w:val="en-US"/>
        </w:rPr>
        <w:t xml:space="preserve">for </w:t>
      </w:r>
      <w:r w:rsidR="001E0EAA">
        <w:rPr>
          <w:b/>
          <w:i/>
          <w:lang w:val="en-US"/>
        </w:rPr>
        <w:t xml:space="preserve">IPR </w:t>
      </w:r>
      <w:r w:rsidR="002F538A">
        <w:rPr>
          <w:b/>
          <w:i/>
          <w:lang w:val="en-US"/>
        </w:rPr>
        <w:t>infringement</w:t>
      </w:r>
      <w:r w:rsidR="002F538A">
        <w:rPr>
          <w:lang w:val="en-US"/>
        </w:rPr>
        <w:t xml:space="preserve"> means </w:t>
      </w:r>
      <w:r w:rsidR="001E0EAA">
        <w:rPr>
          <w:lang w:val="en-US"/>
        </w:rPr>
        <w:t xml:space="preserve">the defendant is jointly liable with one or more other parties, notwithstanding the defendant may not itself be liable for any act of </w:t>
      </w:r>
      <w:r w:rsidR="002F538A">
        <w:rPr>
          <w:lang w:val="en-US"/>
        </w:rPr>
        <w:lastRenderedPageBreak/>
        <w:t xml:space="preserve">direct </w:t>
      </w:r>
      <w:r w:rsidR="00841661">
        <w:rPr>
          <w:lang w:val="en-US"/>
        </w:rPr>
        <w:t>infringement,</w:t>
      </w:r>
      <w:r w:rsidR="002F538A">
        <w:rPr>
          <w:lang w:val="en-US"/>
        </w:rPr>
        <w:t xml:space="preserve"> </w:t>
      </w:r>
      <w:r w:rsidR="00300ACC">
        <w:t>Indirect Infringement</w:t>
      </w:r>
      <w:r w:rsidR="002F538A">
        <w:rPr>
          <w:lang w:val="en-US"/>
        </w:rPr>
        <w:t xml:space="preserve"> </w:t>
      </w:r>
      <w:r w:rsidR="001E0EAA">
        <w:rPr>
          <w:lang w:val="en-US"/>
        </w:rPr>
        <w:t xml:space="preserve">or </w:t>
      </w:r>
      <w:r w:rsidR="00300ACC">
        <w:t>Contributory I</w:t>
      </w:r>
      <w:r w:rsidR="00300ACC" w:rsidRPr="00AF24CF">
        <w:t>nfringement</w:t>
      </w:r>
      <w:r w:rsidR="001E0EAA">
        <w:rPr>
          <w:lang w:val="en-US"/>
        </w:rPr>
        <w:t xml:space="preserve"> </w:t>
      </w:r>
      <w:r w:rsidR="002F538A">
        <w:rPr>
          <w:lang w:val="en-US"/>
        </w:rPr>
        <w:t>under existing laws;</w:t>
      </w:r>
    </w:p>
    <w:p w14:paraId="2B2351D2" w14:textId="1E157F92" w:rsidR="002F538A" w:rsidRDefault="002F538A" w:rsidP="002F538A">
      <w:pPr>
        <w:pStyle w:val="Para-1"/>
      </w:pPr>
      <w:r>
        <w:t>By way of example</w:t>
      </w:r>
      <w:r w:rsidR="005A6025">
        <w:t>,</w:t>
      </w:r>
      <w:r>
        <w:t xml:space="preserve"> </w:t>
      </w:r>
      <w:r w:rsidR="009B2CBD">
        <w:t xml:space="preserve">the </w:t>
      </w:r>
      <w:r w:rsidR="00841661">
        <w:t>United States (</w:t>
      </w:r>
      <w:r w:rsidR="009B2CBD" w:rsidRPr="00841661">
        <w:rPr>
          <w:b/>
          <w:i/>
        </w:rPr>
        <w:t>U.S.</w:t>
      </w:r>
      <w:r w:rsidR="00841661">
        <w:t>)</w:t>
      </w:r>
      <w:r w:rsidR="009B2CBD">
        <w:t xml:space="preserve"> and Canada both recognise a form of Indirect Infringement, being the cause of action of "inducement". In the U.S, this </w:t>
      </w:r>
      <w:r>
        <w:t xml:space="preserve">covers situations where one party actively or knowingly encourages, aids or otherwise causes another party to commit direct infringement, even if the inducing party does not supply a substantial element of the subject matter of the protected IPR. </w:t>
      </w:r>
      <w:r w:rsidR="009B2CBD">
        <w:t>Similarly, in Canada, to make out an inducing allegation, it must be shown that but for the inducement, the direct infringer would not have engaged in the infringing act. These forms of i</w:t>
      </w:r>
      <w:r>
        <w:t xml:space="preserve">nducement </w:t>
      </w:r>
      <w:r w:rsidR="009B2CBD">
        <w:t>are</w:t>
      </w:r>
      <w:r>
        <w:t xml:space="preserve"> within the scope of this Study Question.</w:t>
      </w:r>
    </w:p>
    <w:p w14:paraId="50D8DBAD" w14:textId="75FF6A54" w:rsidR="001E0EAA" w:rsidRPr="002F538A" w:rsidRDefault="00841661" w:rsidP="001E0EAA">
      <w:pPr>
        <w:pStyle w:val="Para-1"/>
      </w:pPr>
      <w:r>
        <w:t>T</w:t>
      </w:r>
      <w:r w:rsidR="001E0EAA">
        <w:t xml:space="preserve">he scope of this Study Question is </w:t>
      </w:r>
      <w:r w:rsidR="001E0EAA" w:rsidRPr="004F44B4">
        <w:rPr>
          <w:lang w:val="en-US"/>
        </w:rPr>
        <w:t>limited to civil infringement, and exclude</w:t>
      </w:r>
      <w:r w:rsidR="001E0EAA">
        <w:rPr>
          <w:lang w:val="en-US"/>
        </w:rPr>
        <w:t>s</w:t>
      </w:r>
      <w:r w:rsidR="001E0EAA" w:rsidRPr="004F44B4">
        <w:rPr>
          <w:lang w:val="en-US"/>
        </w:rPr>
        <w:t xml:space="preserve"> criminal infringement</w:t>
      </w:r>
      <w:r w:rsidR="001E0EAA">
        <w:rPr>
          <w:lang w:val="en-US"/>
        </w:rPr>
        <w:t xml:space="preserve">. </w:t>
      </w:r>
    </w:p>
    <w:p w14:paraId="44944694" w14:textId="6767855A" w:rsidR="00736AE4" w:rsidRPr="007956E3" w:rsidRDefault="00736AE4" w:rsidP="00026698">
      <w:pPr>
        <w:pStyle w:val="HeadingBold"/>
      </w:pPr>
      <w:r w:rsidRPr="007956E3">
        <w:t>Previous work of AIPPI</w:t>
      </w:r>
    </w:p>
    <w:p w14:paraId="619EE374" w14:textId="1E4D22CE" w:rsidR="009D33DA" w:rsidRDefault="009D33DA" w:rsidP="009D33DA">
      <w:pPr>
        <w:pStyle w:val="Para-1"/>
        <w:numPr>
          <w:ilvl w:val="2"/>
          <w:numId w:val="18"/>
        </w:numPr>
        <w:rPr>
          <w:lang w:val="en-GB"/>
        </w:rPr>
      </w:pPr>
      <w:r w:rsidRPr="003765AE">
        <w:rPr>
          <w:lang w:val="en-GB"/>
        </w:rPr>
        <w:t xml:space="preserve">In </w:t>
      </w:r>
      <w:r w:rsidR="00F8452B">
        <w:rPr>
          <w:lang w:val="en-GB"/>
        </w:rPr>
        <w:t xml:space="preserve">the </w:t>
      </w:r>
      <w:r w:rsidRPr="003765AE">
        <w:rPr>
          <w:lang w:val="en-GB"/>
        </w:rPr>
        <w:t xml:space="preserve">Resolution </w:t>
      </w:r>
      <w:r w:rsidR="00F8452B">
        <w:rPr>
          <w:lang w:val="en-GB"/>
        </w:rPr>
        <w:t xml:space="preserve">on </w:t>
      </w:r>
      <w:r w:rsidRPr="003765AE">
        <w:rPr>
          <w:lang w:val="en-GB"/>
        </w:rPr>
        <w:t>Q134A</w:t>
      </w:r>
      <w:r w:rsidR="00F8452B">
        <w:rPr>
          <w:lang w:val="en-GB"/>
        </w:rPr>
        <w:t xml:space="preserve"> – </w:t>
      </w:r>
      <w:r w:rsidRPr="003765AE">
        <w:rPr>
          <w:lang w:val="en-GB"/>
        </w:rPr>
        <w:t>“Enforcement of intellectual property rights - infringement and liability” (Vienna</w:t>
      </w:r>
      <w:r w:rsidR="001E0EAA">
        <w:rPr>
          <w:lang w:val="en-GB"/>
        </w:rPr>
        <w:t>,</w:t>
      </w:r>
      <w:r w:rsidRPr="003765AE">
        <w:rPr>
          <w:lang w:val="en-GB"/>
        </w:rPr>
        <w:t xml:space="preserve"> 1997), AIPPI </w:t>
      </w:r>
      <w:r w:rsidR="001E0EAA">
        <w:rPr>
          <w:lang w:val="en-GB"/>
        </w:rPr>
        <w:t>took</w:t>
      </w:r>
      <w:r w:rsidRPr="003765AE">
        <w:rPr>
          <w:lang w:val="en-GB"/>
        </w:rPr>
        <w:t xml:space="preserve"> the position that in respect of patents, liability for </w:t>
      </w:r>
      <w:r w:rsidR="00300ACC">
        <w:t>Indirect Infringement</w:t>
      </w:r>
      <w:r w:rsidRPr="003765AE">
        <w:rPr>
          <w:lang w:val="en-GB"/>
        </w:rPr>
        <w:t xml:space="preserve"> does not presuppose that an act of infringement is actually committed by another (the direct infringer). In addition, Resolution Q134A states (emphasis added): </w:t>
      </w:r>
    </w:p>
    <w:p w14:paraId="2788B860" w14:textId="49F7DF83" w:rsidR="009D33DA" w:rsidRPr="00A24D00" w:rsidRDefault="00A24D00" w:rsidP="00A24D00">
      <w:pPr>
        <w:ind w:left="1560" w:hanging="426"/>
        <w:jc w:val="both"/>
        <w:rPr>
          <w:rFonts w:cs="Arial"/>
          <w:i/>
          <w:color w:val="000000" w:themeColor="text1"/>
          <w:lang w:val="en-US"/>
        </w:rPr>
      </w:pPr>
      <w:r>
        <w:rPr>
          <w:rFonts w:cs="Arial"/>
          <w:i/>
          <w:color w:val="000000" w:themeColor="text1"/>
          <w:lang w:val="en-US"/>
        </w:rPr>
        <w:t>2.</w:t>
      </w:r>
      <w:r>
        <w:rPr>
          <w:rFonts w:cs="Arial"/>
          <w:i/>
          <w:color w:val="000000" w:themeColor="text1"/>
          <w:lang w:val="en-US"/>
        </w:rPr>
        <w:tab/>
      </w:r>
      <w:r w:rsidR="009D33DA" w:rsidRPr="00A24D00">
        <w:rPr>
          <w:rFonts w:cs="Arial"/>
          <w:i/>
          <w:color w:val="000000" w:themeColor="text1"/>
          <w:lang w:val="en-US"/>
        </w:rPr>
        <w:t xml:space="preserve">The supplying of the means to infringe a patent will constitute indirect infringement at least under the following conditions: </w:t>
      </w:r>
    </w:p>
    <w:p w14:paraId="43160F8B" w14:textId="709AD5FE" w:rsidR="009D33DA" w:rsidRPr="003765AE" w:rsidRDefault="009D33DA" w:rsidP="00A24D00">
      <w:pPr>
        <w:spacing w:after="120"/>
        <w:ind w:left="1985" w:hanging="425"/>
        <w:jc w:val="both"/>
        <w:rPr>
          <w:rFonts w:cs="Arial"/>
          <w:i/>
          <w:color w:val="000000" w:themeColor="text1"/>
          <w:lang w:val="en-US"/>
        </w:rPr>
      </w:pPr>
      <w:r w:rsidRPr="003765AE">
        <w:rPr>
          <w:rFonts w:cs="Arial"/>
          <w:i/>
          <w:color w:val="000000" w:themeColor="text1"/>
          <w:lang w:val="en-US"/>
        </w:rPr>
        <w:t>a)</w:t>
      </w:r>
      <w:r w:rsidR="00A24D00">
        <w:rPr>
          <w:rFonts w:cs="Arial"/>
          <w:i/>
          <w:color w:val="000000" w:themeColor="text1"/>
          <w:lang w:val="en-US"/>
        </w:rPr>
        <w:tab/>
      </w:r>
      <w:r w:rsidRPr="003765AE">
        <w:rPr>
          <w:rFonts w:cs="Arial"/>
          <w:i/>
          <w:color w:val="000000" w:themeColor="text1"/>
          <w:lang w:val="en-US"/>
        </w:rPr>
        <w:t xml:space="preserve">there is no consent of the patentee or the licensee to practice the invention; and </w:t>
      </w:r>
    </w:p>
    <w:p w14:paraId="4546889E" w14:textId="31A52C1C" w:rsidR="00A24D00" w:rsidRDefault="009D33DA" w:rsidP="00A24D00">
      <w:pPr>
        <w:spacing w:after="120"/>
        <w:ind w:left="1985" w:hanging="425"/>
        <w:jc w:val="both"/>
        <w:rPr>
          <w:rFonts w:cs="Arial"/>
          <w:i/>
          <w:color w:val="000000" w:themeColor="text1"/>
          <w:lang w:val="en-US"/>
        </w:rPr>
      </w:pPr>
      <w:r w:rsidRPr="003765AE">
        <w:rPr>
          <w:rFonts w:cs="Arial"/>
          <w:i/>
          <w:color w:val="000000" w:themeColor="text1"/>
          <w:lang w:val="en-US"/>
        </w:rPr>
        <w:t>b)</w:t>
      </w:r>
      <w:r w:rsidR="00A24D00">
        <w:rPr>
          <w:rFonts w:cs="Arial"/>
          <w:i/>
          <w:color w:val="000000" w:themeColor="text1"/>
          <w:lang w:val="en-US"/>
        </w:rPr>
        <w:tab/>
      </w:r>
      <w:r w:rsidRPr="003765AE">
        <w:rPr>
          <w:rFonts w:cs="Arial"/>
          <w:i/>
          <w:color w:val="000000" w:themeColor="text1"/>
          <w:lang w:val="en-US"/>
        </w:rPr>
        <w:t xml:space="preserve">the means supplied are capable of only one use which relates to an </w:t>
      </w:r>
      <w:r w:rsidRPr="003765AE">
        <w:rPr>
          <w:rFonts w:cs="Arial"/>
          <w:i/>
          <w:color w:val="000000" w:themeColor="text1"/>
          <w:u w:val="single"/>
          <w:lang w:val="en-US"/>
        </w:rPr>
        <w:t>essential element of the invention</w:t>
      </w:r>
      <w:r w:rsidRPr="003765AE">
        <w:rPr>
          <w:rFonts w:cs="Arial"/>
          <w:i/>
          <w:color w:val="000000" w:themeColor="text1"/>
          <w:lang w:val="en-US"/>
        </w:rPr>
        <w:t xml:space="preserve">; </w:t>
      </w:r>
    </w:p>
    <w:p w14:paraId="54FF485F" w14:textId="65F232AF" w:rsidR="00A24D00" w:rsidRDefault="009D33DA" w:rsidP="00A24D00">
      <w:pPr>
        <w:spacing w:after="120"/>
        <w:ind w:left="1560"/>
        <w:jc w:val="center"/>
        <w:rPr>
          <w:rFonts w:cs="Arial"/>
          <w:i/>
          <w:color w:val="000000" w:themeColor="text1"/>
          <w:lang w:val="en-US"/>
        </w:rPr>
      </w:pPr>
      <w:r w:rsidRPr="003765AE">
        <w:rPr>
          <w:rFonts w:cs="Arial"/>
          <w:i/>
          <w:color w:val="000000" w:themeColor="text1"/>
          <w:lang w:val="en-US"/>
        </w:rPr>
        <w:t>or</w:t>
      </w:r>
    </w:p>
    <w:p w14:paraId="405F2B13" w14:textId="60883F53" w:rsidR="009D33DA" w:rsidRPr="003765AE" w:rsidRDefault="009D33DA" w:rsidP="009D33DA">
      <w:pPr>
        <w:spacing w:after="120"/>
        <w:ind w:left="1560"/>
        <w:jc w:val="both"/>
        <w:rPr>
          <w:rFonts w:cs="Arial"/>
          <w:i/>
          <w:color w:val="000000" w:themeColor="text1"/>
          <w:lang w:val="en-US"/>
        </w:rPr>
      </w:pPr>
      <w:r w:rsidRPr="003765AE">
        <w:rPr>
          <w:rFonts w:cs="Arial"/>
          <w:i/>
          <w:color w:val="000000" w:themeColor="text1"/>
          <w:lang w:val="en-US"/>
        </w:rPr>
        <w:t xml:space="preserve">the means supplied are capable of uses other than the practice of the invention, but they are </w:t>
      </w:r>
      <w:r w:rsidRPr="003765AE">
        <w:rPr>
          <w:rFonts w:cs="Arial"/>
          <w:i/>
          <w:color w:val="000000" w:themeColor="text1"/>
          <w:u w:val="single"/>
          <w:lang w:val="en-US"/>
        </w:rPr>
        <w:t>supplied with instructions for use</w:t>
      </w:r>
      <w:r w:rsidRPr="003765AE">
        <w:rPr>
          <w:rFonts w:cs="Arial"/>
          <w:i/>
          <w:color w:val="000000" w:themeColor="text1"/>
          <w:lang w:val="en-US"/>
        </w:rPr>
        <w:t xml:space="preserve"> which involve the practice of the invention, unless the supplier supplies only staple goods generally available to the market and the supplier has not induced the receiver to infringe the patent.</w:t>
      </w:r>
    </w:p>
    <w:p w14:paraId="1E04611B" w14:textId="197F5B27" w:rsidR="009D33DA" w:rsidRPr="003765AE" w:rsidRDefault="009D33DA" w:rsidP="009D33DA">
      <w:pPr>
        <w:pStyle w:val="Para-1"/>
        <w:numPr>
          <w:ilvl w:val="2"/>
          <w:numId w:val="18"/>
        </w:numPr>
        <w:rPr>
          <w:lang w:val="en-GB"/>
        </w:rPr>
      </w:pPr>
      <w:r w:rsidRPr="003765AE">
        <w:rPr>
          <w:lang w:val="en-GB"/>
        </w:rPr>
        <w:t xml:space="preserve">Resolution Q204 recommends that all jurisdictions adopt rules in their IP law concerning </w:t>
      </w:r>
      <w:r w:rsidR="00300ACC">
        <w:t>Contributory I</w:t>
      </w:r>
      <w:r w:rsidR="00300ACC" w:rsidRPr="00AF24CF">
        <w:t>nfringement</w:t>
      </w:r>
      <w:r w:rsidRPr="003765AE">
        <w:rPr>
          <w:lang w:val="en-GB"/>
        </w:rPr>
        <w:t xml:space="preserve"> of IPRs</w:t>
      </w:r>
      <w:r w:rsidR="003A5FA5">
        <w:rPr>
          <w:lang w:val="en-GB"/>
        </w:rPr>
        <w:t xml:space="preserve">, </w:t>
      </w:r>
      <w:r w:rsidRPr="003765AE">
        <w:rPr>
          <w:lang w:val="en-GB"/>
        </w:rPr>
        <w:t>and that the basic principles should be harmonized. Resolution Q204 states (emphasis added):</w:t>
      </w:r>
    </w:p>
    <w:p w14:paraId="290DFD2F" w14:textId="06920EFD" w:rsidR="009D33DA" w:rsidRPr="003765AE" w:rsidRDefault="00FD6B28" w:rsidP="009D33DA">
      <w:pPr>
        <w:spacing w:after="120"/>
        <w:ind w:left="1560" w:hanging="426"/>
        <w:jc w:val="both"/>
        <w:rPr>
          <w:rFonts w:cs="Arial"/>
          <w:i/>
          <w:lang w:val="en-US"/>
        </w:rPr>
      </w:pPr>
      <w:r>
        <w:rPr>
          <w:rFonts w:cs="Arial"/>
          <w:i/>
          <w:lang w:val="en-US"/>
        </w:rPr>
        <w:t>3)</w:t>
      </w:r>
      <w:r w:rsidR="009D33DA" w:rsidRPr="003765AE">
        <w:rPr>
          <w:rFonts w:cs="Arial"/>
          <w:i/>
          <w:lang w:val="en-US"/>
        </w:rPr>
        <w:tab/>
        <w:t xml:space="preserve">The basic principles for contributory infringement should include that: </w:t>
      </w:r>
    </w:p>
    <w:p w14:paraId="18B6CCA4" w14:textId="2C55A48D" w:rsidR="009D33DA" w:rsidRPr="003765AE" w:rsidRDefault="009D33DA" w:rsidP="009D33DA">
      <w:pPr>
        <w:pStyle w:val="ListParagraph"/>
        <w:spacing w:after="120"/>
        <w:ind w:left="1560"/>
        <w:contextualSpacing w:val="0"/>
        <w:jc w:val="both"/>
        <w:rPr>
          <w:rFonts w:ascii="Arial" w:hAnsi="Arial" w:cs="Arial"/>
          <w:i/>
          <w:lang w:val="en-US"/>
        </w:rPr>
      </w:pPr>
      <w:r w:rsidRPr="003765AE">
        <w:rPr>
          <w:rFonts w:ascii="Arial" w:hAnsi="Arial" w:cs="Arial"/>
          <w:i/>
          <w:lang w:val="en-US"/>
        </w:rPr>
        <w:t xml:space="preserve">- the means supplied or offered by the contributory infringer </w:t>
      </w:r>
      <w:r w:rsidRPr="003765AE">
        <w:rPr>
          <w:rFonts w:ascii="Arial" w:hAnsi="Arial" w:cs="Arial"/>
          <w:i/>
          <w:u w:val="single"/>
          <w:lang w:val="en-US"/>
        </w:rPr>
        <w:t>relate to a substantial element of the subject matter</w:t>
      </w:r>
      <w:r w:rsidRPr="003765AE">
        <w:rPr>
          <w:rFonts w:ascii="Arial" w:hAnsi="Arial" w:cs="Arial"/>
          <w:i/>
          <w:lang w:val="en-US"/>
        </w:rPr>
        <w:t xml:space="preserve"> of the protected IPR; </w:t>
      </w:r>
    </w:p>
    <w:p w14:paraId="37D57DE1" w14:textId="77777777" w:rsidR="009D33DA" w:rsidRPr="003765AE" w:rsidRDefault="009D33DA" w:rsidP="009D33DA">
      <w:pPr>
        <w:pStyle w:val="ListParagraph"/>
        <w:spacing w:after="120"/>
        <w:ind w:left="1560"/>
        <w:contextualSpacing w:val="0"/>
        <w:jc w:val="both"/>
        <w:rPr>
          <w:rFonts w:ascii="Arial" w:hAnsi="Arial" w:cs="Arial"/>
          <w:i/>
          <w:lang w:val="en-US"/>
        </w:rPr>
      </w:pPr>
      <w:r w:rsidRPr="003765AE">
        <w:rPr>
          <w:rFonts w:ascii="Arial" w:hAnsi="Arial" w:cs="Arial"/>
          <w:i/>
          <w:lang w:val="en-US"/>
        </w:rPr>
        <w:t xml:space="preserve">- the means supplied or offered by the contributory infringer are for an infringing use; </w:t>
      </w:r>
    </w:p>
    <w:p w14:paraId="144AF376" w14:textId="77777777" w:rsidR="009D33DA" w:rsidRPr="003765AE" w:rsidRDefault="009D33DA" w:rsidP="009D33DA">
      <w:pPr>
        <w:pStyle w:val="ListParagraph"/>
        <w:spacing w:after="120"/>
        <w:ind w:left="1560"/>
        <w:contextualSpacing w:val="0"/>
        <w:jc w:val="both"/>
        <w:rPr>
          <w:rFonts w:ascii="Arial" w:hAnsi="Arial" w:cs="Arial"/>
          <w:i/>
          <w:lang w:val="en-US"/>
        </w:rPr>
      </w:pPr>
      <w:r w:rsidRPr="003765AE">
        <w:rPr>
          <w:rFonts w:ascii="Arial" w:hAnsi="Arial" w:cs="Arial"/>
          <w:i/>
          <w:lang w:val="en-US"/>
        </w:rPr>
        <w:lastRenderedPageBreak/>
        <w:t xml:space="preserve">- at the time of offering or supply, </w:t>
      </w:r>
      <w:r w:rsidRPr="003765AE">
        <w:rPr>
          <w:rFonts w:ascii="Arial" w:hAnsi="Arial" w:cs="Arial"/>
          <w:i/>
          <w:u w:val="single"/>
          <w:lang w:val="en-US"/>
        </w:rPr>
        <w:t>the suitability and intended use were known</w:t>
      </w:r>
      <w:r w:rsidRPr="003765AE">
        <w:rPr>
          <w:rFonts w:ascii="Arial" w:hAnsi="Arial" w:cs="Arial"/>
          <w:i/>
          <w:lang w:val="en-US"/>
        </w:rPr>
        <w:t xml:space="preserve"> to the supplier </w:t>
      </w:r>
      <w:r w:rsidRPr="003765AE">
        <w:rPr>
          <w:rFonts w:ascii="Arial" w:hAnsi="Arial" w:cs="Arial"/>
          <w:i/>
          <w:u w:val="single"/>
          <w:lang w:val="en-US"/>
        </w:rPr>
        <w:t>or obvious</w:t>
      </w:r>
      <w:r w:rsidRPr="003765AE">
        <w:rPr>
          <w:rFonts w:ascii="Arial" w:hAnsi="Arial" w:cs="Arial"/>
          <w:i/>
          <w:lang w:val="en-US"/>
        </w:rPr>
        <w:t xml:space="preserve"> under the circumstances.</w:t>
      </w:r>
    </w:p>
    <w:p w14:paraId="1A6ABDBA" w14:textId="19920C77" w:rsidR="009D33DA" w:rsidRPr="003765AE" w:rsidRDefault="00FD6B28" w:rsidP="009D33DA">
      <w:pPr>
        <w:spacing w:after="120"/>
        <w:ind w:left="1560" w:hanging="426"/>
        <w:jc w:val="both"/>
        <w:rPr>
          <w:rFonts w:cs="Arial"/>
          <w:i/>
          <w:lang w:val="en-US"/>
        </w:rPr>
      </w:pPr>
      <w:r>
        <w:rPr>
          <w:rFonts w:cs="Arial"/>
          <w:i/>
          <w:lang w:val="en-US"/>
        </w:rPr>
        <w:t>4)</w:t>
      </w:r>
      <w:r w:rsidR="009D33DA" w:rsidRPr="003765AE">
        <w:rPr>
          <w:rFonts w:cs="Arial"/>
          <w:i/>
          <w:lang w:val="en-US"/>
        </w:rPr>
        <w:tab/>
        <w:t xml:space="preserve">It should not be a condition for an injunction against contributory infringement that an act of actual infringement is actually committed, if such actual infringement is likely to occur. </w:t>
      </w:r>
    </w:p>
    <w:p w14:paraId="0BFD4378" w14:textId="74548A1E" w:rsidR="009D33DA" w:rsidRPr="003765AE" w:rsidRDefault="00FD6B28" w:rsidP="009D33DA">
      <w:pPr>
        <w:spacing w:after="120"/>
        <w:ind w:left="1560" w:hanging="426"/>
        <w:jc w:val="both"/>
        <w:rPr>
          <w:rFonts w:cs="Arial"/>
          <w:i/>
          <w:lang w:val="en-US"/>
        </w:rPr>
      </w:pPr>
      <w:r>
        <w:rPr>
          <w:rFonts w:cs="Arial"/>
          <w:i/>
          <w:lang w:val="en-US"/>
        </w:rPr>
        <w:t>5)</w:t>
      </w:r>
      <w:r w:rsidR="009D33DA" w:rsidRPr="003765AE">
        <w:rPr>
          <w:rFonts w:cs="Arial"/>
          <w:i/>
          <w:lang w:val="en-US"/>
        </w:rPr>
        <w:tab/>
        <w:t xml:space="preserve">The remedies for contributory infringement should generally be the same for all types of IPRs. </w:t>
      </w:r>
    </w:p>
    <w:p w14:paraId="0E11FD3B" w14:textId="02A42B20" w:rsidR="009D33DA" w:rsidRDefault="00FD6B28" w:rsidP="009D33DA">
      <w:pPr>
        <w:spacing w:after="120"/>
        <w:ind w:left="1560" w:hanging="426"/>
        <w:jc w:val="both"/>
        <w:rPr>
          <w:rFonts w:cs="Arial"/>
          <w:i/>
          <w:lang w:val="en-US"/>
        </w:rPr>
      </w:pPr>
      <w:r>
        <w:rPr>
          <w:rFonts w:cs="Arial"/>
          <w:i/>
          <w:lang w:val="en-US"/>
        </w:rPr>
        <w:t>6)</w:t>
      </w:r>
      <w:r w:rsidR="009D33DA" w:rsidRPr="003765AE">
        <w:rPr>
          <w:rFonts w:cs="Arial"/>
          <w:i/>
          <w:lang w:val="en-US"/>
        </w:rPr>
        <w:tab/>
        <w:t xml:space="preserve">Injunctive relief should, in principle, be available against contributory </w:t>
      </w:r>
      <w:r>
        <w:rPr>
          <w:rFonts w:cs="Arial"/>
          <w:i/>
          <w:lang w:val="en-US"/>
        </w:rPr>
        <w:t>infringement of IPRs to the same extent as against direct infringement</w:t>
      </w:r>
      <w:r w:rsidR="009D33DA" w:rsidRPr="003765AE">
        <w:rPr>
          <w:rFonts w:cs="Arial"/>
          <w:i/>
          <w:lang w:val="en-US"/>
        </w:rPr>
        <w:t>.</w:t>
      </w:r>
    </w:p>
    <w:p w14:paraId="1624CE72" w14:textId="1D10B6CB" w:rsidR="006D2F8E" w:rsidRPr="003765AE" w:rsidRDefault="006D2F8E" w:rsidP="009D33DA">
      <w:pPr>
        <w:spacing w:after="120"/>
        <w:ind w:left="1560" w:hanging="426"/>
        <w:jc w:val="both"/>
        <w:rPr>
          <w:rFonts w:cs="Arial"/>
          <w:i/>
          <w:lang w:val="en-US"/>
        </w:rPr>
      </w:pPr>
      <w:r>
        <w:rPr>
          <w:rFonts w:cs="Arial"/>
          <w:i/>
          <w:lang w:val="en-US"/>
        </w:rPr>
        <w:t>7)</w:t>
      </w:r>
      <w:r>
        <w:rPr>
          <w:rFonts w:cs="Arial"/>
          <w:i/>
          <w:lang w:val="en-US"/>
        </w:rPr>
        <w:tab/>
        <w:t>The IPR owner should be able to hold the contributory infringer liable in damages for any loss that is incurred as a result of the contributory infringement and is not otherwise recovered.</w:t>
      </w:r>
    </w:p>
    <w:p w14:paraId="632C8178" w14:textId="24E4B8C2" w:rsidR="009D33DA" w:rsidRPr="003765AE" w:rsidRDefault="00296C5E" w:rsidP="009D33DA">
      <w:pPr>
        <w:pStyle w:val="Para-1"/>
        <w:numPr>
          <w:ilvl w:val="2"/>
          <w:numId w:val="18"/>
        </w:numPr>
        <w:rPr>
          <w:lang w:val="en-GB"/>
        </w:rPr>
      </w:pPr>
      <w:r>
        <w:rPr>
          <w:lang w:val="en-GB"/>
        </w:rPr>
        <w:t xml:space="preserve">AIPPI's </w:t>
      </w:r>
      <w:r w:rsidR="009D33DA" w:rsidRPr="003765AE">
        <w:rPr>
          <w:lang w:val="en-GB"/>
        </w:rPr>
        <w:t xml:space="preserve">Resolution </w:t>
      </w:r>
      <w:r>
        <w:rPr>
          <w:lang w:val="en-GB"/>
        </w:rPr>
        <w:t xml:space="preserve">on </w:t>
      </w:r>
      <w:r w:rsidR="009D33DA" w:rsidRPr="003765AE">
        <w:rPr>
          <w:lang w:val="en-GB"/>
        </w:rPr>
        <w:t xml:space="preserve">Q204P </w:t>
      </w:r>
      <w:r>
        <w:rPr>
          <w:lang w:val="en-GB"/>
        </w:rPr>
        <w:t xml:space="preserve">– </w:t>
      </w:r>
      <w:r w:rsidR="009D33DA" w:rsidRPr="003765AE">
        <w:rPr>
          <w:lang w:val="en-GB"/>
        </w:rPr>
        <w:t xml:space="preserve">“Liability for contributory infringement of IPRs-certain aspects of patent infringement” (Paris, 2010), </w:t>
      </w:r>
      <w:r>
        <w:rPr>
          <w:lang w:val="en-GB"/>
        </w:rPr>
        <w:t>defined "</w:t>
      </w:r>
      <w:r w:rsidR="00300ACC">
        <w:t>Contributory I</w:t>
      </w:r>
      <w:r w:rsidR="00300ACC" w:rsidRPr="00AF24CF">
        <w:t>nfringement</w:t>
      </w:r>
      <w:r>
        <w:rPr>
          <w:lang w:val="en-GB"/>
        </w:rPr>
        <w:t xml:space="preserve">" in the same way as that term is defined in Resolution Q204. Resolution Q204P </w:t>
      </w:r>
      <w:r w:rsidR="00C75F46">
        <w:rPr>
          <w:lang w:val="en-GB"/>
        </w:rPr>
        <w:t xml:space="preserve">further </w:t>
      </w:r>
      <w:r w:rsidR="009D33DA" w:rsidRPr="003765AE">
        <w:rPr>
          <w:lang w:val="en-GB"/>
        </w:rPr>
        <w:t xml:space="preserve">states (emphasis added): </w:t>
      </w:r>
    </w:p>
    <w:p w14:paraId="3D6FCBE9" w14:textId="63AD226E" w:rsidR="009D33DA" w:rsidRPr="003765AE" w:rsidRDefault="007F2369" w:rsidP="009D33DA">
      <w:pPr>
        <w:spacing w:after="120"/>
        <w:ind w:left="1560" w:hanging="426"/>
        <w:jc w:val="both"/>
        <w:rPr>
          <w:rFonts w:cs="Arial"/>
          <w:i/>
          <w:lang w:val="en-US"/>
        </w:rPr>
      </w:pPr>
      <w:r>
        <w:rPr>
          <w:rFonts w:cs="Arial"/>
          <w:i/>
          <w:lang w:val="en-US"/>
        </w:rPr>
        <w:t>2)</w:t>
      </w:r>
      <w:r w:rsidR="009D33DA" w:rsidRPr="003765AE">
        <w:rPr>
          <w:rFonts w:cs="Arial"/>
          <w:i/>
          <w:lang w:val="en-US"/>
        </w:rPr>
        <w:tab/>
        <w:t xml:space="preserve">It should be a condition for the supply or offering of means to qualify as contributory patent infringement that the means supplied or offered are suitable for committing an act that is a direct patent infringement. </w:t>
      </w:r>
    </w:p>
    <w:p w14:paraId="04EE7207" w14:textId="5DDA0F75" w:rsidR="009D33DA" w:rsidRPr="003765AE" w:rsidRDefault="007F2369" w:rsidP="009D33DA">
      <w:pPr>
        <w:spacing w:after="120"/>
        <w:ind w:left="1560" w:hanging="426"/>
        <w:jc w:val="both"/>
        <w:rPr>
          <w:rFonts w:cs="Arial"/>
          <w:i/>
          <w:lang w:val="en-US"/>
        </w:rPr>
      </w:pPr>
      <w:r>
        <w:rPr>
          <w:rFonts w:cs="Arial"/>
          <w:i/>
          <w:lang w:val="en-US"/>
        </w:rPr>
        <w:t>3)</w:t>
      </w:r>
      <w:r w:rsidR="009D33DA" w:rsidRPr="003765AE">
        <w:rPr>
          <w:rFonts w:cs="Arial"/>
          <w:i/>
          <w:lang w:val="en-US"/>
        </w:rPr>
        <w:tab/>
        <w:t xml:space="preserve">It should be a condition for the supply or offering of means to qualify as contributory patent infringement that the person supplying or offering such means </w:t>
      </w:r>
      <w:r w:rsidR="009D33DA" w:rsidRPr="003765AE">
        <w:rPr>
          <w:rFonts w:cs="Arial"/>
          <w:i/>
          <w:u w:val="single"/>
          <w:lang w:val="en-US"/>
        </w:rPr>
        <w:t>knows, or it is obvious</w:t>
      </w:r>
      <w:r w:rsidR="009D33DA" w:rsidRPr="003765AE">
        <w:rPr>
          <w:rFonts w:cs="Arial"/>
          <w:i/>
          <w:lang w:val="en-US"/>
        </w:rPr>
        <w:t xml:space="preserve"> in the circumstances, that these means are </w:t>
      </w:r>
      <w:r w:rsidR="009D33DA" w:rsidRPr="003765AE">
        <w:rPr>
          <w:rFonts w:cs="Arial"/>
          <w:i/>
          <w:u w:val="single"/>
          <w:lang w:val="en-US"/>
        </w:rPr>
        <w:t>suitable</w:t>
      </w:r>
      <w:r w:rsidR="009D33DA" w:rsidRPr="003765AE">
        <w:rPr>
          <w:rFonts w:cs="Arial"/>
          <w:i/>
          <w:lang w:val="en-US"/>
        </w:rPr>
        <w:t xml:space="preserve"> and intended for putting the invention into effect. </w:t>
      </w:r>
    </w:p>
    <w:p w14:paraId="4A993BDA" w14:textId="69BC71F9" w:rsidR="009D33DA" w:rsidRPr="003765AE" w:rsidRDefault="007F2369" w:rsidP="009D33DA">
      <w:pPr>
        <w:spacing w:after="120"/>
        <w:ind w:left="1560" w:hanging="426"/>
        <w:jc w:val="both"/>
        <w:rPr>
          <w:rFonts w:cs="Arial"/>
          <w:i/>
          <w:lang w:val="en-US"/>
        </w:rPr>
      </w:pPr>
      <w:r>
        <w:rPr>
          <w:rFonts w:cs="Arial"/>
          <w:i/>
          <w:lang w:val="en-US"/>
        </w:rPr>
        <w:t>4)</w:t>
      </w:r>
      <w:r w:rsidR="009D33DA" w:rsidRPr="003765AE">
        <w:rPr>
          <w:rFonts w:cs="Arial"/>
          <w:i/>
          <w:lang w:val="en-US"/>
        </w:rPr>
        <w:tab/>
        <w:t xml:space="preserve">It should be a condition for the supply or offering of means to qualify as contributory patent infringement that such means relate to a </w:t>
      </w:r>
      <w:r w:rsidR="009D33DA" w:rsidRPr="003765AE">
        <w:rPr>
          <w:rFonts w:cs="Arial"/>
          <w:i/>
          <w:u w:val="single"/>
          <w:lang w:val="en-US"/>
        </w:rPr>
        <w:t>substantial element of the invention</w:t>
      </w:r>
      <w:r w:rsidR="009D33DA" w:rsidRPr="003765AE">
        <w:rPr>
          <w:rFonts w:cs="Arial"/>
          <w:i/>
          <w:lang w:val="en-US"/>
        </w:rPr>
        <w:t xml:space="preserve">; what is a substantial element should be determined on the basis of the ordinary principles of claim construction and patent interpretation. </w:t>
      </w:r>
    </w:p>
    <w:p w14:paraId="7399F4B5" w14:textId="66B34595" w:rsidR="009D33DA" w:rsidRPr="003765AE" w:rsidRDefault="007F2369" w:rsidP="009D33DA">
      <w:pPr>
        <w:spacing w:after="120"/>
        <w:ind w:left="1560" w:hanging="426"/>
        <w:jc w:val="both"/>
        <w:rPr>
          <w:rFonts w:cs="Arial"/>
          <w:i/>
          <w:lang w:val="en-US"/>
        </w:rPr>
      </w:pPr>
      <w:r>
        <w:rPr>
          <w:rFonts w:cs="Arial"/>
          <w:i/>
          <w:lang w:val="en-US"/>
        </w:rPr>
        <w:t>8)</w:t>
      </w:r>
      <w:r w:rsidR="009D33DA" w:rsidRPr="003765AE">
        <w:rPr>
          <w:rFonts w:cs="Arial"/>
          <w:i/>
          <w:lang w:val="en-US"/>
        </w:rPr>
        <w:tab/>
        <w:t xml:space="preserve">It need </w:t>
      </w:r>
      <w:r w:rsidR="009D33DA" w:rsidRPr="003765AE">
        <w:rPr>
          <w:rFonts w:cs="Arial"/>
          <w:i/>
          <w:u w:val="single"/>
          <w:lang w:val="en-US"/>
        </w:rPr>
        <w:t>not</w:t>
      </w:r>
      <w:r w:rsidR="009D33DA" w:rsidRPr="003765AE">
        <w:rPr>
          <w:rFonts w:cs="Arial"/>
          <w:i/>
          <w:lang w:val="en-US"/>
        </w:rPr>
        <w:t xml:space="preserve"> be a requirement for contributory patent infringement that the intended use of the means offered or supplied would take place in the country where the means are supplied or offered.</w:t>
      </w:r>
    </w:p>
    <w:p w14:paraId="744DADC6" w14:textId="5B4D5817" w:rsidR="009D33DA" w:rsidRPr="003765AE" w:rsidRDefault="007F2369" w:rsidP="009D33DA">
      <w:pPr>
        <w:spacing w:after="120"/>
        <w:ind w:left="1560" w:hanging="426"/>
        <w:jc w:val="both"/>
        <w:rPr>
          <w:rFonts w:cs="Arial"/>
          <w:i/>
          <w:lang w:val="en-US"/>
        </w:rPr>
      </w:pPr>
      <w:r>
        <w:rPr>
          <w:rFonts w:cs="Arial"/>
          <w:i/>
          <w:lang w:val="en-US"/>
        </w:rPr>
        <w:t>9)</w:t>
      </w:r>
      <w:r w:rsidR="009D33DA" w:rsidRPr="003765AE">
        <w:rPr>
          <w:rFonts w:cs="Arial"/>
          <w:i/>
          <w:lang w:val="en-US"/>
        </w:rPr>
        <w:tab/>
        <w:t>Injunctive relief should in principle be available against acts of contributory patent infringement to the same extent as against direct infringement</w:t>
      </w:r>
      <w:r>
        <w:rPr>
          <w:rFonts w:cs="Arial"/>
          <w:i/>
          <w:lang w:val="en-US"/>
        </w:rPr>
        <w:t>.</w:t>
      </w:r>
      <w:r w:rsidR="009D33DA" w:rsidRPr="003765AE">
        <w:rPr>
          <w:rFonts w:cs="Arial"/>
          <w:i/>
          <w:lang w:val="en-US"/>
        </w:rPr>
        <w:t xml:space="preserve"> This should include an injunction, if appropriate under national law, on manufacture of the means supplied or offered, if those means can exclusively or mainly be used for patent infringing purposes.</w:t>
      </w:r>
    </w:p>
    <w:p w14:paraId="63108608" w14:textId="4E7292E5" w:rsidR="009D33DA" w:rsidRPr="003765AE" w:rsidRDefault="009D33DA" w:rsidP="009D33DA">
      <w:pPr>
        <w:pStyle w:val="Para-1"/>
        <w:numPr>
          <w:ilvl w:val="2"/>
          <w:numId w:val="18"/>
        </w:numPr>
        <w:rPr>
          <w:lang w:val="en-GB"/>
        </w:rPr>
      </w:pPr>
      <w:r w:rsidRPr="003765AE">
        <w:rPr>
          <w:lang w:val="en-GB"/>
        </w:rPr>
        <w:t xml:space="preserve">In summary, AIPPI has consistently taken the position that </w:t>
      </w:r>
      <w:r w:rsidR="00300ACC">
        <w:t>Contributory I</w:t>
      </w:r>
      <w:r w:rsidR="00300ACC" w:rsidRPr="00AF24CF">
        <w:t>nfringement</w:t>
      </w:r>
      <w:r w:rsidRPr="003765AE">
        <w:rPr>
          <w:lang w:val="en-GB"/>
        </w:rPr>
        <w:t xml:space="preserve"> requires</w:t>
      </w:r>
      <w:r w:rsidR="003A5FA5">
        <w:rPr>
          <w:lang w:val="en-GB"/>
        </w:rPr>
        <w:t>,</w:t>
      </w:r>
      <w:r w:rsidRPr="003765AE">
        <w:rPr>
          <w:lang w:val="en-GB"/>
        </w:rPr>
        <w:t xml:space="preserve"> inter alia</w:t>
      </w:r>
      <w:r w:rsidR="003A5FA5">
        <w:rPr>
          <w:lang w:val="en-GB"/>
        </w:rPr>
        <w:t>,</w:t>
      </w:r>
      <w:r w:rsidRPr="003765AE">
        <w:rPr>
          <w:lang w:val="en-GB"/>
        </w:rPr>
        <w:t xml:space="preserve"> that:</w:t>
      </w:r>
    </w:p>
    <w:p w14:paraId="0BF2B98D" w14:textId="370BB4DC" w:rsidR="009D33DA" w:rsidRPr="003A5FA5" w:rsidRDefault="009D33DA" w:rsidP="003A5FA5">
      <w:pPr>
        <w:pStyle w:val="Para-a"/>
      </w:pPr>
      <w:r w:rsidRPr="003A5FA5">
        <w:lastRenderedPageBreak/>
        <w:t>the supplied or offered means related to a substantial element of the subject matter of the protected IPR;</w:t>
      </w:r>
    </w:p>
    <w:p w14:paraId="79C50520" w14:textId="57262354" w:rsidR="009D33DA" w:rsidRPr="003A5FA5" w:rsidRDefault="009D33DA" w:rsidP="003A5FA5">
      <w:pPr>
        <w:pStyle w:val="Para-a"/>
      </w:pPr>
      <w:r w:rsidRPr="003A5FA5">
        <w:t>at the time of offering or supply, the suitability and intended use were known to the supplier or obvious under the circumstances.</w:t>
      </w:r>
    </w:p>
    <w:p w14:paraId="16629197" w14:textId="1C7A31D0" w:rsidR="009D33DA" w:rsidRPr="003765AE" w:rsidRDefault="009D33DA" w:rsidP="009D33DA">
      <w:pPr>
        <w:pStyle w:val="Para-1"/>
        <w:numPr>
          <w:ilvl w:val="2"/>
          <w:numId w:val="18"/>
        </w:numPr>
        <w:spacing w:after="120"/>
        <w:jc w:val="both"/>
        <w:rPr>
          <w:rFonts w:cs="Arial"/>
          <w:lang w:val="en-US"/>
        </w:rPr>
      </w:pPr>
      <w:r w:rsidRPr="003765AE">
        <w:rPr>
          <w:lang w:val="en-GB"/>
        </w:rPr>
        <w:t xml:space="preserve">However, these previous Resolutions do not take </w:t>
      </w:r>
      <w:r>
        <w:rPr>
          <w:lang w:val="en-GB"/>
        </w:rPr>
        <w:t xml:space="preserve">a </w:t>
      </w:r>
      <w:r w:rsidRPr="003765AE">
        <w:rPr>
          <w:lang w:val="en-GB"/>
        </w:rPr>
        <w:t xml:space="preserve">position </w:t>
      </w:r>
      <w:r>
        <w:rPr>
          <w:lang w:val="en-GB"/>
        </w:rPr>
        <w:t xml:space="preserve">as to </w:t>
      </w:r>
      <w:r w:rsidRPr="003765AE">
        <w:rPr>
          <w:lang w:val="en-GB"/>
        </w:rPr>
        <w:t xml:space="preserve">whether acts </w:t>
      </w:r>
      <w:r w:rsidRPr="007F2369">
        <w:rPr>
          <w:u w:val="single"/>
          <w:lang w:val="en-GB"/>
        </w:rPr>
        <w:t>not</w:t>
      </w:r>
      <w:r w:rsidRPr="003765AE">
        <w:rPr>
          <w:lang w:val="en-GB"/>
        </w:rPr>
        <w:t xml:space="preserve"> meeting the above two basic requirements (supply of </w:t>
      </w:r>
      <w:r>
        <w:rPr>
          <w:lang w:val="en-GB"/>
        </w:rPr>
        <w:t xml:space="preserve">a </w:t>
      </w:r>
      <w:r w:rsidRPr="003765AE">
        <w:rPr>
          <w:lang w:val="en-GB"/>
        </w:rPr>
        <w:t xml:space="preserve">substantial element plus knowledge or obvious suitability) can </w:t>
      </w:r>
      <w:r w:rsidR="0021504C">
        <w:rPr>
          <w:lang w:val="en-GB"/>
        </w:rPr>
        <w:t xml:space="preserve">give rise to </w:t>
      </w:r>
      <w:r w:rsidR="0017652D">
        <w:rPr>
          <w:lang w:val="en-GB"/>
        </w:rPr>
        <w:t>J</w:t>
      </w:r>
      <w:r w:rsidR="0021504C">
        <w:rPr>
          <w:lang w:val="en-GB"/>
        </w:rPr>
        <w:t xml:space="preserve">oint </w:t>
      </w:r>
      <w:r w:rsidR="0017652D">
        <w:rPr>
          <w:lang w:val="en-GB"/>
        </w:rPr>
        <w:t>L</w:t>
      </w:r>
      <w:r w:rsidR="0021504C">
        <w:rPr>
          <w:lang w:val="en-GB"/>
        </w:rPr>
        <w:t xml:space="preserve">iability for </w:t>
      </w:r>
      <w:r w:rsidR="007F2369">
        <w:rPr>
          <w:lang w:val="en-GB"/>
        </w:rPr>
        <w:t xml:space="preserve">IPR </w:t>
      </w:r>
      <w:r>
        <w:rPr>
          <w:lang w:val="en-GB"/>
        </w:rPr>
        <w:t xml:space="preserve">infringement on </w:t>
      </w:r>
      <w:r w:rsidR="0021504C">
        <w:rPr>
          <w:lang w:val="en-GB"/>
        </w:rPr>
        <w:t>the basis defined in this Study Question.</w:t>
      </w:r>
    </w:p>
    <w:p w14:paraId="2158AB14" w14:textId="77777777" w:rsidR="00736AE4" w:rsidRDefault="00736AE4" w:rsidP="002A5C63">
      <w:pPr>
        <w:pStyle w:val="HeadingBold"/>
        <w:keepLines w:val="0"/>
      </w:pPr>
      <w:r w:rsidRPr="006A63A5">
        <w:rPr>
          <w:rFonts w:hint="eastAsia"/>
        </w:rPr>
        <w:t>Discussion</w:t>
      </w:r>
    </w:p>
    <w:p w14:paraId="34FC67D6" w14:textId="52284F50" w:rsidR="003A5FA5" w:rsidRPr="003A5FA5" w:rsidRDefault="003A5FA5" w:rsidP="003A5FA5">
      <w:pPr>
        <w:pStyle w:val="Para-1"/>
        <w:rPr>
          <w:lang w:val="en-GB"/>
        </w:rPr>
      </w:pPr>
      <w:r w:rsidRPr="003A5FA5">
        <w:rPr>
          <w:lang w:val="en-GB"/>
        </w:rPr>
        <w:t>This Study Question primarily concerns three distinct scenarios:</w:t>
      </w:r>
    </w:p>
    <w:p w14:paraId="093CBF23" w14:textId="77777777" w:rsidR="0021504C" w:rsidRDefault="003A5FA5" w:rsidP="003A5FA5">
      <w:pPr>
        <w:pStyle w:val="Para-a"/>
      </w:pPr>
      <w:r>
        <w:t xml:space="preserve">There is direct IPR infringement by a party, but the IPR holder wants to </w:t>
      </w:r>
      <w:r w:rsidR="000923AF">
        <w:t xml:space="preserve">pursue another party involved in the relevant acts, but </w:t>
      </w:r>
      <w:r>
        <w:t>who either</w:t>
      </w:r>
      <w:r w:rsidR="0021504C">
        <w:t>:</w:t>
      </w:r>
    </w:p>
    <w:p w14:paraId="308ABCAC" w14:textId="4FEB94BC" w:rsidR="0021504C" w:rsidRDefault="003A5FA5" w:rsidP="0021504C">
      <w:pPr>
        <w:pStyle w:val="Para-i"/>
      </w:pPr>
      <w:r>
        <w:t>did not supply a substantial element of the subject matter of the protected IPR</w:t>
      </w:r>
      <w:r w:rsidR="0017652D">
        <w:t xml:space="preserve"> (</w:t>
      </w:r>
      <w:r w:rsidR="0017652D">
        <w:rPr>
          <w:b/>
          <w:i/>
        </w:rPr>
        <w:t>Scenario 1A</w:t>
      </w:r>
      <w:r w:rsidR="0017652D">
        <w:t>)</w:t>
      </w:r>
      <w:r w:rsidR="0021504C">
        <w:t>;</w:t>
      </w:r>
      <w:r>
        <w:t xml:space="preserve"> or </w:t>
      </w:r>
    </w:p>
    <w:p w14:paraId="4BD02F05" w14:textId="48DD1703" w:rsidR="003A5FA5" w:rsidRDefault="003A5FA5" w:rsidP="0021504C">
      <w:pPr>
        <w:pStyle w:val="Para-i"/>
      </w:pPr>
      <w:r>
        <w:t>did not have knowledge of the IPR infringement (</w:t>
      </w:r>
      <w:r>
        <w:rPr>
          <w:b/>
          <w:i/>
        </w:rPr>
        <w:t>Scenario 1</w:t>
      </w:r>
      <w:r w:rsidR="0017652D">
        <w:rPr>
          <w:b/>
          <w:i/>
        </w:rPr>
        <w:t>B</w:t>
      </w:r>
      <w:r>
        <w:t>);</w:t>
      </w:r>
    </w:p>
    <w:p w14:paraId="2D8384A2" w14:textId="5C2FBEAF" w:rsidR="003A5FA5" w:rsidRDefault="003A5FA5" w:rsidP="003A5FA5">
      <w:pPr>
        <w:pStyle w:val="Para-a"/>
      </w:pPr>
      <w:r>
        <w:t>There is no direct IPR infringement by any party, but IPR infringement nonetheless occurs as the result of the combined acts of two or more parties (</w:t>
      </w:r>
      <w:r w:rsidR="00923C44">
        <w:rPr>
          <w:b/>
          <w:i/>
        </w:rPr>
        <w:t>Scenario 2</w:t>
      </w:r>
      <w:r w:rsidR="00923C44">
        <w:t>);</w:t>
      </w:r>
    </w:p>
    <w:p w14:paraId="593187B3" w14:textId="2FB494AC" w:rsidR="00923C44" w:rsidRPr="003A5FA5" w:rsidRDefault="00923C44" w:rsidP="003A5FA5">
      <w:pPr>
        <w:pStyle w:val="Para-a"/>
      </w:pPr>
      <w:r>
        <w:t xml:space="preserve">A combination of Scenario 1 and Scenario 2: there is no direct IPR infringement by any one party, </w:t>
      </w:r>
      <w:r w:rsidR="000923AF">
        <w:t>and</w:t>
      </w:r>
      <w:r>
        <w:t xml:space="preserve"> the IPR infringement occurs by reason of an overseas entity that is controlling the acts of the participating parties described in Scenario 2, but the overseas entity is not itself performing any portion of the IPR infringement (</w:t>
      </w:r>
      <w:r>
        <w:rPr>
          <w:b/>
          <w:i/>
        </w:rPr>
        <w:t>Scenario 3</w:t>
      </w:r>
      <w:r>
        <w:t>).</w:t>
      </w:r>
    </w:p>
    <w:p w14:paraId="07B002FC" w14:textId="70379A2D" w:rsidR="006C478B" w:rsidRDefault="00923C44" w:rsidP="009D33DA">
      <w:pPr>
        <w:pStyle w:val="Para-1"/>
        <w:rPr>
          <w:lang w:val="en-GB"/>
        </w:rPr>
      </w:pPr>
      <w:r>
        <w:rPr>
          <w:lang w:val="en-GB"/>
        </w:rPr>
        <w:t>Scenario 1</w:t>
      </w:r>
      <w:r w:rsidR="0021504C">
        <w:rPr>
          <w:lang w:val="en-GB"/>
        </w:rPr>
        <w:t>A</w:t>
      </w:r>
      <w:r>
        <w:rPr>
          <w:lang w:val="en-GB"/>
        </w:rPr>
        <w:t xml:space="preserve"> could </w:t>
      </w:r>
      <w:r w:rsidR="00775D7F">
        <w:rPr>
          <w:lang w:val="en-GB"/>
        </w:rPr>
        <w:t xml:space="preserve">arise because </w:t>
      </w:r>
      <w:r>
        <w:rPr>
          <w:lang w:val="en-GB"/>
        </w:rPr>
        <w:t xml:space="preserve">the party </w:t>
      </w:r>
      <w:r w:rsidR="006C1AFA">
        <w:rPr>
          <w:lang w:val="en-GB"/>
        </w:rPr>
        <w:t xml:space="preserve">directly infringing the IP right is not a “suitable target” for litigation (e.g. because that party is a potential customer). </w:t>
      </w:r>
      <w:r w:rsidR="0021504C">
        <w:rPr>
          <w:lang w:val="en-GB"/>
        </w:rPr>
        <w:t xml:space="preserve">Can </w:t>
      </w:r>
      <w:r w:rsidR="006C1AFA">
        <w:rPr>
          <w:lang w:val="en-GB"/>
        </w:rPr>
        <w:t xml:space="preserve">the IPR holder </w:t>
      </w:r>
      <w:r w:rsidR="0017652D">
        <w:rPr>
          <w:lang w:val="en-GB"/>
        </w:rPr>
        <w:t>nonetheless</w:t>
      </w:r>
      <w:r w:rsidR="006C1AFA">
        <w:rPr>
          <w:lang w:val="en-GB"/>
        </w:rPr>
        <w:t xml:space="preserve"> pursue another party which has </w:t>
      </w:r>
      <w:r w:rsidR="006C1AFA" w:rsidRPr="000B324F">
        <w:rPr>
          <w:lang w:val="en-GB"/>
        </w:rPr>
        <w:t>encourage</w:t>
      </w:r>
      <w:r w:rsidR="006C1AFA">
        <w:rPr>
          <w:lang w:val="en-GB"/>
        </w:rPr>
        <w:t>d</w:t>
      </w:r>
      <w:r w:rsidR="006C1AFA" w:rsidRPr="000B324F">
        <w:rPr>
          <w:lang w:val="en-GB"/>
        </w:rPr>
        <w:t xml:space="preserve"> or induce</w:t>
      </w:r>
      <w:r w:rsidR="006C1AFA">
        <w:rPr>
          <w:lang w:val="en-GB"/>
        </w:rPr>
        <w:t>d</w:t>
      </w:r>
      <w:r w:rsidR="00DE110B">
        <w:rPr>
          <w:rStyle w:val="FootnoteReference"/>
          <w:lang w:val="en-GB"/>
        </w:rPr>
        <w:footnoteReference w:id="1"/>
      </w:r>
      <w:r w:rsidR="006C1AFA" w:rsidRPr="000B324F">
        <w:rPr>
          <w:lang w:val="en-GB"/>
        </w:rPr>
        <w:t xml:space="preserve"> the </w:t>
      </w:r>
      <w:r w:rsidR="006C1AFA">
        <w:rPr>
          <w:lang w:val="en-GB"/>
        </w:rPr>
        <w:t>direct or contributory infringer</w:t>
      </w:r>
      <w:r w:rsidR="0021504C">
        <w:rPr>
          <w:lang w:val="en-GB"/>
        </w:rPr>
        <w:t>?</w:t>
      </w:r>
      <w:r w:rsidR="006C1AFA">
        <w:rPr>
          <w:lang w:val="en-GB"/>
        </w:rPr>
        <w:t xml:space="preserve"> </w:t>
      </w:r>
      <w:r w:rsidR="0017652D">
        <w:rPr>
          <w:lang w:val="en-GB"/>
        </w:rPr>
        <w:t>S</w:t>
      </w:r>
      <w:r w:rsidR="006C1AFA">
        <w:rPr>
          <w:lang w:val="en-GB"/>
        </w:rPr>
        <w:t xml:space="preserve">uch other party could </w:t>
      </w:r>
      <w:r w:rsidR="006D6208">
        <w:rPr>
          <w:lang w:val="en-GB"/>
        </w:rPr>
        <w:t>include</w:t>
      </w:r>
      <w:r w:rsidR="006C1AFA">
        <w:rPr>
          <w:lang w:val="en-GB"/>
        </w:rPr>
        <w:t xml:space="preserve"> the landlord of a “Silk Street” type </w:t>
      </w:r>
      <w:r w:rsidR="006C1AFA">
        <w:t>shopping mall (</w:t>
      </w:r>
      <w:r w:rsidR="006D6208">
        <w:t xml:space="preserve">i.e </w:t>
      </w:r>
      <w:r w:rsidR="006C1AFA">
        <w:t>the stalls in the mall are rented to independent tenants specializing in selling pirated DVDs, fake purses, etc.)</w:t>
      </w:r>
      <w:r w:rsidR="006C1AFA">
        <w:rPr>
          <w:lang w:val="en-GB"/>
        </w:rPr>
        <w:t>, the operator of an equivalent online market place, or</w:t>
      </w:r>
      <w:r w:rsidR="006C1AFA" w:rsidRPr="000536C0">
        <w:rPr>
          <w:lang w:val="en-GB"/>
        </w:rPr>
        <w:t xml:space="preserve"> </w:t>
      </w:r>
      <w:r w:rsidR="006C1AFA">
        <w:rPr>
          <w:lang w:val="en-GB"/>
        </w:rPr>
        <w:t xml:space="preserve">an </w:t>
      </w:r>
      <w:r w:rsidR="006C1AFA" w:rsidRPr="000B324F">
        <w:rPr>
          <w:lang w:val="en-GB"/>
        </w:rPr>
        <w:t>advertiser</w:t>
      </w:r>
      <w:r w:rsidR="006D6208">
        <w:rPr>
          <w:lang w:val="en-GB"/>
        </w:rPr>
        <w:t xml:space="preserve">. Such other parties may </w:t>
      </w:r>
      <w:r>
        <w:rPr>
          <w:lang w:val="en-GB"/>
        </w:rPr>
        <w:t xml:space="preserve">not supply a substantial element of the subject matter of the protected IPR but </w:t>
      </w:r>
      <w:r w:rsidR="006C478B">
        <w:rPr>
          <w:lang w:val="en-GB"/>
        </w:rPr>
        <w:t xml:space="preserve">nonetheless </w:t>
      </w:r>
      <w:r>
        <w:rPr>
          <w:lang w:val="en-GB"/>
        </w:rPr>
        <w:t>have knowledge and</w:t>
      </w:r>
      <w:r w:rsidR="006C478B">
        <w:rPr>
          <w:lang w:val="en-GB"/>
        </w:rPr>
        <w:t>/or actively encourage or induce</w:t>
      </w:r>
      <w:r>
        <w:rPr>
          <w:lang w:val="en-GB"/>
        </w:rPr>
        <w:t xml:space="preserve"> the infringement. Should th</w:t>
      </w:r>
      <w:r w:rsidR="006C478B">
        <w:rPr>
          <w:lang w:val="en-GB"/>
        </w:rPr>
        <w:t>ese other  parties</w:t>
      </w:r>
      <w:r>
        <w:rPr>
          <w:lang w:val="en-GB"/>
        </w:rPr>
        <w:t xml:space="preserve"> be jointly liable </w:t>
      </w:r>
      <w:r w:rsidR="006C478B">
        <w:rPr>
          <w:lang w:val="en-GB"/>
        </w:rPr>
        <w:t>with the direct infringer?</w:t>
      </w:r>
    </w:p>
    <w:p w14:paraId="226466A5" w14:textId="16B1F35F" w:rsidR="00923C44" w:rsidRDefault="00923C44" w:rsidP="009D33DA">
      <w:pPr>
        <w:pStyle w:val="Para-1"/>
        <w:rPr>
          <w:lang w:val="en-GB"/>
        </w:rPr>
      </w:pPr>
      <w:r>
        <w:rPr>
          <w:lang w:val="en-GB"/>
        </w:rPr>
        <w:t xml:space="preserve">Alternatively, </w:t>
      </w:r>
      <w:r w:rsidR="007F2369">
        <w:rPr>
          <w:lang w:val="en-GB"/>
        </w:rPr>
        <w:t>under</w:t>
      </w:r>
      <w:r w:rsidR="0021504C">
        <w:rPr>
          <w:lang w:val="en-GB"/>
        </w:rPr>
        <w:t xml:space="preserve"> Scenario 1B, </w:t>
      </w:r>
      <w:r>
        <w:rPr>
          <w:lang w:val="en-GB"/>
        </w:rPr>
        <w:t xml:space="preserve">what if the party </w:t>
      </w:r>
      <w:r w:rsidRPr="0017652D">
        <w:rPr>
          <w:u w:val="single"/>
          <w:lang w:val="en-GB"/>
        </w:rPr>
        <w:t>did</w:t>
      </w:r>
      <w:r>
        <w:rPr>
          <w:lang w:val="en-GB"/>
        </w:rPr>
        <w:t xml:space="preserve"> supply substantial element of the subject matter of the protected IPR, </w:t>
      </w:r>
      <w:r w:rsidRPr="007F2369">
        <w:rPr>
          <w:u w:val="single"/>
          <w:lang w:val="en-GB"/>
        </w:rPr>
        <w:t>but</w:t>
      </w:r>
      <w:r>
        <w:rPr>
          <w:lang w:val="en-GB"/>
        </w:rPr>
        <w:t xml:space="preserve"> did not have any knowledge that such component could be used to infringe an IPR?</w:t>
      </w:r>
      <w:r w:rsidR="006C478B">
        <w:rPr>
          <w:lang w:val="en-GB"/>
        </w:rPr>
        <w:t xml:space="preserve"> T</w:t>
      </w:r>
      <w:r w:rsidR="006C478B" w:rsidRPr="008622BC">
        <w:rPr>
          <w:lang w:val="en-GB"/>
        </w:rPr>
        <w:t xml:space="preserve">he </w:t>
      </w:r>
      <w:r w:rsidR="006C478B">
        <w:rPr>
          <w:lang w:val="en-GB"/>
        </w:rPr>
        <w:t>actual</w:t>
      </w:r>
      <w:r w:rsidR="006C478B" w:rsidRPr="008622BC">
        <w:rPr>
          <w:lang w:val="en-GB"/>
        </w:rPr>
        <w:t xml:space="preserve"> end use of a product </w:t>
      </w:r>
      <w:r w:rsidR="006C478B">
        <w:rPr>
          <w:lang w:val="en-GB"/>
        </w:rPr>
        <w:t>may</w:t>
      </w:r>
      <w:r w:rsidR="006C478B" w:rsidRPr="008622BC">
        <w:rPr>
          <w:lang w:val="en-GB"/>
        </w:rPr>
        <w:t xml:space="preserve"> </w:t>
      </w:r>
      <w:r w:rsidR="006C478B" w:rsidRPr="00E61ED3">
        <w:rPr>
          <w:lang w:val="en-GB"/>
        </w:rPr>
        <w:lastRenderedPageBreak/>
        <w:t>not be known</w:t>
      </w:r>
      <w:r w:rsidR="006C478B" w:rsidRPr="008622BC">
        <w:rPr>
          <w:lang w:val="en-GB"/>
        </w:rPr>
        <w:t xml:space="preserve"> </w:t>
      </w:r>
      <w:r w:rsidR="006C478B">
        <w:rPr>
          <w:lang w:val="en-GB"/>
        </w:rPr>
        <w:t>(</w:t>
      </w:r>
      <w:r w:rsidR="007F2369">
        <w:rPr>
          <w:lang w:val="en-GB"/>
        </w:rPr>
        <w:t xml:space="preserve">or </w:t>
      </w:r>
      <w:r w:rsidR="006C478B">
        <w:rPr>
          <w:lang w:val="en-GB"/>
        </w:rPr>
        <w:t xml:space="preserve">obvious) </w:t>
      </w:r>
      <w:r w:rsidR="006C478B" w:rsidRPr="008622BC">
        <w:rPr>
          <w:lang w:val="en-GB"/>
        </w:rPr>
        <w:t xml:space="preserve">to the manufacturer of the means, while </w:t>
      </w:r>
      <w:r w:rsidR="0017652D">
        <w:rPr>
          <w:lang w:val="en-GB"/>
        </w:rPr>
        <w:t>the</w:t>
      </w:r>
      <w:r w:rsidR="006C478B" w:rsidRPr="008622BC">
        <w:rPr>
          <w:lang w:val="en-GB"/>
        </w:rPr>
        <w:t xml:space="preserve"> means </w:t>
      </w:r>
      <w:r w:rsidR="006C478B">
        <w:rPr>
          <w:lang w:val="en-GB"/>
        </w:rPr>
        <w:t xml:space="preserve">nonetheless </w:t>
      </w:r>
      <w:r w:rsidR="006C478B" w:rsidRPr="008622BC">
        <w:rPr>
          <w:lang w:val="en-GB"/>
        </w:rPr>
        <w:t xml:space="preserve">realize substantial elements of the subject matter of the protected IPR. For example, a memory chip </w:t>
      </w:r>
      <w:r w:rsidR="006C478B">
        <w:rPr>
          <w:lang w:val="en-GB"/>
        </w:rPr>
        <w:t xml:space="preserve">may </w:t>
      </w:r>
      <w:r w:rsidR="006C478B" w:rsidRPr="008622BC">
        <w:rPr>
          <w:lang w:val="en-GB"/>
        </w:rPr>
        <w:t xml:space="preserve">implement substantial elements of a technology for addressing memory space within the chip, </w:t>
      </w:r>
      <w:r w:rsidR="006C478B">
        <w:rPr>
          <w:lang w:val="en-GB"/>
        </w:rPr>
        <w:t>but</w:t>
      </w:r>
      <w:r w:rsidR="006C478B" w:rsidRPr="008622BC">
        <w:rPr>
          <w:lang w:val="en-GB"/>
        </w:rPr>
        <w:t xml:space="preserve"> infringement of all elements of the claimed invention requires that the chip is built into telecommunication device (</w:t>
      </w:r>
      <w:r w:rsidR="0017652D">
        <w:rPr>
          <w:lang w:val="en-GB"/>
        </w:rPr>
        <w:t xml:space="preserve">e.g. </w:t>
      </w:r>
      <w:r w:rsidR="006C478B" w:rsidRPr="008622BC">
        <w:rPr>
          <w:lang w:val="en-GB"/>
        </w:rPr>
        <w:t xml:space="preserve">smartphone, tablet or laptop computer) having further features (e.g. a main processor, suitable software). The manufacturer of the memory chip </w:t>
      </w:r>
      <w:r w:rsidR="006C478B">
        <w:rPr>
          <w:lang w:val="en-GB"/>
        </w:rPr>
        <w:t>may have</w:t>
      </w:r>
      <w:r w:rsidR="006C478B" w:rsidRPr="008622BC">
        <w:rPr>
          <w:lang w:val="en-GB"/>
        </w:rPr>
        <w:t xml:space="preserve"> no knowledge </w:t>
      </w:r>
      <w:r w:rsidR="006C478B">
        <w:rPr>
          <w:lang w:val="en-GB"/>
        </w:rPr>
        <w:t xml:space="preserve">at all </w:t>
      </w:r>
      <w:r w:rsidR="006C478B" w:rsidRPr="008622BC">
        <w:rPr>
          <w:lang w:val="en-GB"/>
        </w:rPr>
        <w:t xml:space="preserve">of the end use of its products </w:t>
      </w:r>
      <w:r w:rsidR="006C478B">
        <w:rPr>
          <w:lang w:val="en-GB"/>
        </w:rPr>
        <w:t xml:space="preserve">which </w:t>
      </w:r>
      <w:r w:rsidR="006C478B" w:rsidRPr="008622BC">
        <w:rPr>
          <w:lang w:val="en-GB"/>
        </w:rPr>
        <w:t>are distributed over multiple distribution levels to a plethora of device manufacturers</w:t>
      </w:r>
      <w:r w:rsidR="006C478B">
        <w:rPr>
          <w:lang w:val="en-GB"/>
        </w:rPr>
        <w:t xml:space="preserve">. </w:t>
      </w:r>
      <w:r w:rsidR="0021504C">
        <w:rPr>
          <w:lang w:val="en-GB"/>
        </w:rPr>
        <w:t>Further</w:t>
      </w:r>
      <w:r w:rsidR="006C478B">
        <w:rPr>
          <w:lang w:val="en-GB"/>
        </w:rPr>
        <w:t>, the specific infringing uses to which the products are ultimately put may not be obvious to the manufacturer.</w:t>
      </w:r>
    </w:p>
    <w:p w14:paraId="6F1AE1DC" w14:textId="05687D25" w:rsidR="00923C44" w:rsidRDefault="007F2369" w:rsidP="009D33DA">
      <w:pPr>
        <w:pStyle w:val="Para-1"/>
        <w:rPr>
          <w:lang w:val="en-GB"/>
        </w:rPr>
      </w:pPr>
      <w:r>
        <w:rPr>
          <w:lang w:val="en-GB"/>
        </w:rPr>
        <w:t>Turning to</w:t>
      </w:r>
      <w:r w:rsidR="00923C44">
        <w:rPr>
          <w:lang w:val="en-GB"/>
        </w:rPr>
        <w:t xml:space="preserve"> Scenario 2, under what situation should there be liability for any or all of the parties whose combined acts </w:t>
      </w:r>
      <w:r w:rsidR="004D2877">
        <w:rPr>
          <w:lang w:val="en-GB"/>
        </w:rPr>
        <w:t xml:space="preserve">(only) </w:t>
      </w:r>
      <w:r w:rsidR="00923C44">
        <w:rPr>
          <w:lang w:val="en-GB"/>
        </w:rPr>
        <w:t>together constitute IPR infringement? This is referred to as "divided infringement" under U.S. law. Questions include whether it should matter if one of the parties has knowledge of the IPR and the IPR infringement, or whether they all do, or whether one or more of those parties are outside the jurisdiction.</w:t>
      </w:r>
    </w:p>
    <w:p w14:paraId="12537821" w14:textId="171CBDEF" w:rsidR="004D2877" w:rsidRDefault="006C478B" w:rsidP="009D33DA">
      <w:pPr>
        <w:pStyle w:val="Para-1"/>
        <w:rPr>
          <w:lang w:val="en-GB"/>
        </w:rPr>
      </w:pPr>
      <w:r>
        <w:rPr>
          <w:lang w:val="en-GB"/>
        </w:rPr>
        <w:t xml:space="preserve">In </w:t>
      </w:r>
      <w:r w:rsidR="009D33DA" w:rsidRPr="003765AE">
        <w:rPr>
          <w:lang w:val="en-GB"/>
        </w:rPr>
        <w:t xml:space="preserve">particular in the field of internet-based services, it </w:t>
      </w:r>
      <w:r w:rsidR="0002741A">
        <w:rPr>
          <w:lang w:val="en-GB"/>
        </w:rPr>
        <w:t xml:space="preserve">is </w:t>
      </w:r>
      <w:r w:rsidR="009D33DA" w:rsidRPr="003765AE">
        <w:rPr>
          <w:lang w:val="en-GB"/>
        </w:rPr>
        <w:t xml:space="preserve">often </w:t>
      </w:r>
      <w:r w:rsidR="0002741A">
        <w:rPr>
          <w:lang w:val="en-GB"/>
        </w:rPr>
        <w:t xml:space="preserve">not </w:t>
      </w:r>
      <w:r w:rsidR="004D2877">
        <w:rPr>
          <w:lang w:val="en-GB"/>
        </w:rPr>
        <w:t xml:space="preserve">possible to mount a case of direct </w:t>
      </w:r>
      <w:r w:rsidR="009D33DA" w:rsidRPr="003765AE">
        <w:rPr>
          <w:lang w:val="en-GB"/>
        </w:rPr>
        <w:t>infringement</w:t>
      </w:r>
      <w:r w:rsidR="0002741A">
        <w:rPr>
          <w:lang w:val="en-GB"/>
        </w:rPr>
        <w:t>. This can be</w:t>
      </w:r>
      <w:r w:rsidR="009D33DA">
        <w:rPr>
          <w:lang w:val="en-GB"/>
        </w:rPr>
        <w:t xml:space="preserve"> due to </w:t>
      </w:r>
      <w:r w:rsidR="009D33DA" w:rsidRPr="003765AE">
        <w:rPr>
          <w:lang w:val="en-GB"/>
        </w:rPr>
        <w:t xml:space="preserve">territoriality restrictions </w:t>
      </w:r>
      <w:r w:rsidR="0017652D">
        <w:rPr>
          <w:lang w:val="en-GB"/>
        </w:rPr>
        <w:t>in</w:t>
      </w:r>
      <w:r w:rsidR="0002741A">
        <w:rPr>
          <w:lang w:val="en-GB"/>
        </w:rPr>
        <w:t xml:space="preserve"> </w:t>
      </w:r>
      <w:r w:rsidR="009D33DA" w:rsidRPr="003765AE">
        <w:rPr>
          <w:lang w:val="en-GB"/>
        </w:rPr>
        <w:t xml:space="preserve">the applicable national laws. For example, </w:t>
      </w:r>
      <w:r w:rsidR="0002741A">
        <w:rPr>
          <w:lang w:val="en-GB"/>
        </w:rPr>
        <w:t xml:space="preserve">if </w:t>
      </w:r>
      <w:r w:rsidR="009D33DA" w:rsidRPr="003765AE">
        <w:rPr>
          <w:lang w:val="en-GB"/>
        </w:rPr>
        <w:t xml:space="preserve">a patent relates to a method for transmitting encrypted messages between </w:t>
      </w:r>
      <w:r w:rsidR="009D33DA">
        <w:rPr>
          <w:lang w:val="en-GB"/>
        </w:rPr>
        <w:t>two servers, and the two servers are owned by independent parties (possibly even located in different jurisdictions)</w:t>
      </w:r>
      <w:r w:rsidR="0002741A">
        <w:rPr>
          <w:lang w:val="en-GB"/>
        </w:rPr>
        <w:t xml:space="preserve">, </w:t>
      </w:r>
      <w:r w:rsidR="009D33DA">
        <w:rPr>
          <w:lang w:val="en-GB"/>
        </w:rPr>
        <w:t>the</w:t>
      </w:r>
      <w:r w:rsidR="0002741A">
        <w:rPr>
          <w:lang w:val="en-GB"/>
        </w:rPr>
        <w:t>re is</w:t>
      </w:r>
      <w:r w:rsidR="009D33DA">
        <w:rPr>
          <w:lang w:val="en-GB"/>
        </w:rPr>
        <w:t xml:space="preserve"> question whether the two parties are jointly liable for the overall infringement</w:t>
      </w:r>
      <w:r w:rsidR="004D2877">
        <w:rPr>
          <w:lang w:val="en-GB"/>
        </w:rPr>
        <w:t>.</w:t>
      </w:r>
    </w:p>
    <w:p w14:paraId="4FB306CD" w14:textId="222BE481" w:rsidR="009D33DA" w:rsidRPr="003765AE" w:rsidRDefault="004D2877" w:rsidP="009D33DA">
      <w:pPr>
        <w:pStyle w:val="Para-1"/>
        <w:rPr>
          <w:lang w:val="en-GB"/>
        </w:rPr>
      </w:pPr>
      <w:r>
        <w:rPr>
          <w:lang w:val="en-GB"/>
        </w:rPr>
        <w:t>A further complication may be introduced</w:t>
      </w:r>
      <w:r w:rsidR="0024336F">
        <w:rPr>
          <w:lang w:val="en-GB"/>
        </w:rPr>
        <w:t>,</w:t>
      </w:r>
      <w:r>
        <w:rPr>
          <w:lang w:val="en-GB"/>
        </w:rPr>
        <w:t xml:space="preserve"> giving rise to Scenario 3. That is, what is the liability for infringement where there is</w:t>
      </w:r>
      <w:r w:rsidR="009D33DA">
        <w:rPr>
          <w:lang w:val="en-GB"/>
        </w:rPr>
        <w:t xml:space="preserve"> a</w:t>
      </w:r>
      <w:r w:rsidR="0024336F">
        <w:rPr>
          <w:lang w:val="en-GB"/>
        </w:rPr>
        <w:t>n overseas party</w:t>
      </w:r>
      <w:r w:rsidR="009D33DA">
        <w:rPr>
          <w:lang w:val="en-GB"/>
        </w:rPr>
        <w:t xml:space="preserve"> “mastermind</w:t>
      </w:r>
      <w:r w:rsidR="0024336F">
        <w:rPr>
          <w:lang w:val="en-GB"/>
        </w:rPr>
        <w:t>ing</w:t>
      </w:r>
      <w:r w:rsidR="009D33DA">
        <w:rPr>
          <w:lang w:val="en-GB"/>
        </w:rPr>
        <w:t xml:space="preserve">” </w:t>
      </w:r>
      <w:r w:rsidR="0024336F">
        <w:rPr>
          <w:lang w:val="en-GB"/>
        </w:rPr>
        <w:t xml:space="preserve">or </w:t>
      </w:r>
      <w:r w:rsidR="009D33DA">
        <w:rPr>
          <w:lang w:val="en-GB"/>
        </w:rPr>
        <w:t>coordinating the activities of the two parties</w:t>
      </w:r>
      <w:r w:rsidR="007F2369">
        <w:rPr>
          <w:lang w:val="en-GB"/>
        </w:rPr>
        <w:t xml:space="preserve"> referred to in paragraph 23</w:t>
      </w:r>
      <w:r w:rsidR="0024336F">
        <w:rPr>
          <w:lang w:val="en-GB"/>
        </w:rPr>
        <w:t xml:space="preserve"> above? Should the "mastermind</w:t>
      </w:r>
      <w:r w:rsidR="005943E0">
        <w:rPr>
          <w:lang w:val="en-GB"/>
        </w:rPr>
        <w:t>"</w:t>
      </w:r>
      <w:r w:rsidR="0024336F">
        <w:rPr>
          <w:lang w:val="en-GB"/>
        </w:rPr>
        <w:t xml:space="preserve"> be jointly </w:t>
      </w:r>
      <w:r w:rsidR="009D33DA">
        <w:rPr>
          <w:lang w:val="en-GB"/>
        </w:rPr>
        <w:t>liable</w:t>
      </w:r>
      <w:r w:rsidR="0024336F">
        <w:rPr>
          <w:lang w:val="en-GB"/>
        </w:rPr>
        <w:t xml:space="preserve"> with the other two parties</w:t>
      </w:r>
      <w:r w:rsidR="0021504C">
        <w:rPr>
          <w:lang w:val="en-GB"/>
        </w:rPr>
        <w:t xml:space="preserve"> in those circumstances</w:t>
      </w:r>
      <w:r w:rsidR="0024336F">
        <w:rPr>
          <w:lang w:val="en-GB"/>
        </w:rPr>
        <w:t>?</w:t>
      </w:r>
    </w:p>
    <w:p w14:paraId="2218C975" w14:textId="21ADEB2B" w:rsidR="009D33DA" w:rsidRDefault="000E5AC9" w:rsidP="009D33DA">
      <w:pPr>
        <w:pStyle w:val="Para-1"/>
        <w:rPr>
          <w:lang w:val="en-GB"/>
        </w:rPr>
      </w:pPr>
      <w:r w:rsidRPr="003765AE">
        <w:rPr>
          <w:lang w:val="en-GB"/>
        </w:rPr>
        <w:t xml:space="preserve">It is appreciated that the broader topic of </w:t>
      </w:r>
      <w:r w:rsidR="0017652D">
        <w:rPr>
          <w:lang w:val="en-GB"/>
        </w:rPr>
        <w:t>Joint Liability</w:t>
      </w:r>
      <w:r w:rsidRPr="003765AE">
        <w:rPr>
          <w:lang w:val="en-GB"/>
        </w:rPr>
        <w:t xml:space="preserve"> involves many more aspects which could be subject of future further studies </w:t>
      </w:r>
      <w:r>
        <w:rPr>
          <w:lang w:val="en-GB"/>
        </w:rPr>
        <w:t>by</w:t>
      </w:r>
      <w:r w:rsidRPr="003765AE">
        <w:rPr>
          <w:lang w:val="en-GB"/>
        </w:rPr>
        <w:t xml:space="preserve"> AIPPI.</w:t>
      </w:r>
      <w:r>
        <w:rPr>
          <w:lang w:val="en-GB"/>
        </w:rPr>
        <w:t xml:space="preserve"> However, t</w:t>
      </w:r>
      <w:r w:rsidR="009D33DA" w:rsidRPr="003765AE">
        <w:rPr>
          <w:lang w:val="en-GB"/>
        </w:rPr>
        <w:t>his Study Question aims to address the</w:t>
      </w:r>
      <w:r w:rsidR="0024336F">
        <w:rPr>
          <w:lang w:val="en-GB"/>
        </w:rPr>
        <w:t>se</w:t>
      </w:r>
      <w:r w:rsidR="009D33DA" w:rsidRPr="003765AE">
        <w:rPr>
          <w:lang w:val="en-GB"/>
        </w:rPr>
        <w:t xml:space="preserve"> three main scenarios in order to explore some basic rules suitable for harmonization</w:t>
      </w:r>
      <w:r>
        <w:rPr>
          <w:lang w:val="en-GB"/>
        </w:rPr>
        <w:t xml:space="preserve"> which</w:t>
      </w:r>
      <w:r w:rsidR="0024336F">
        <w:rPr>
          <w:lang w:val="en-GB"/>
        </w:rPr>
        <w:t>, as</w:t>
      </w:r>
      <w:r>
        <w:rPr>
          <w:lang w:val="en-GB"/>
        </w:rPr>
        <w:t xml:space="preserve"> the following examples of the current law in a number of major jurisdictions illustrate</w:t>
      </w:r>
      <w:r w:rsidR="0024336F">
        <w:rPr>
          <w:lang w:val="en-GB"/>
        </w:rPr>
        <w:t>,</w:t>
      </w:r>
      <w:r>
        <w:rPr>
          <w:lang w:val="en-GB"/>
        </w:rPr>
        <w:t xml:space="preserve"> is presently lacking</w:t>
      </w:r>
      <w:r w:rsidR="009D33DA" w:rsidRPr="003765AE">
        <w:rPr>
          <w:lang w:val="en-GB"/>
        </w:rPr>
        <w:t xml:space="preserve">. </w:t>
      </w:r>
    </w:p>
    <w:p w14:paraId="7A27EB22" w14:textId="68746F76" w:rsidR="0002741A" w:rsidRPr="0002741A" w:rsidRDefault="0002741A" w:rsidP="0002741A">
      <w:pPr>
        <w:pStyle w:val="Para-1"/>
        <w:keepNext/>
        <w:numPr>
          <w:ilvl w:val="0"/>
          <w:numId w:val="0"/>
        </w:numPr>
        <w:rPr>
          <w:i/>
          <w:lang w:val="en-GB"/>
        </w:rPr>
      </w:pPr>
      <w:r>
        <w:rPr>
          <w:i/>
          <w:lang w:val="en-GB"/>
        </w:rPr>
        <w:t>German law</w:t>
      </w:r>
    </w:p>
    <w:p w14:paraId="5205F939" w14:textId="28DA1A9B" w:rsidR="00F34B48" w:rsidRDefault="006B6EDD" w:rsidP="009D33DA">
      <w:pPr>
        <w:pStyle w:val="Para-1"/>
        <w:rPr>
          <w:lang w:val="en-GB"/>
        </w:rPr>
      </w:pPr>
      <w:r>
        <w:rPr>
          <w:lang w:val="en-GB"/>
        </w:rPr>
        <w:t>U</w:t>
      </w:r>
      <w:r w:rsidR="009D33DA" w:rsidRPr="003765AE">
        <w:rPr>
          <w:lang w:val="en-GB"/>
        </w:rPr>
        <w:t xml:space="preserve">nder German law, </w:t>
      </w:r>
      <w:r w:rsidR="00F34B48">
        <w:rPr>
          <w:lang w:val="en-GB"/>
        </w:rPr>
        <w:t>the general rules of tort law are applicable</w:t>
      </w:r>
      <w:r w:rsidR="008C67ED" w:rsidRPr="008C67ED">
        <w:rPr>
          <w:lang w:val="en-GB"/>
        </w:rPr>
        <w:t xml:space="preserve"> </w:t>
      </w:r>
      <w:r w:rsidR="008E44A0">
        <w:rPr>
          <w:lang w:val="en-GB"/>
        </w:rPr>
        <w:t xml:space="preserve">to acts which are </w:t>
      </w:r>
      <w:r w:rsidR="008C67ED">
        <w:rPr>
          <w:lang w:val="en-GB"/>
        </w:rPr>
        <w:t xml:space="preserve">outside the scope of </w:t>
      </w:r>
      <w:r w:rsidR="008E44A0">
        <w:rPr>
          <w:lang w:val="en-GB"/>
        </w:rPr>
        <w:t>direct</w:t>
      </w:r>
      <w:r w:rsidR="007F2369">
        <w:rPr>
          <w:lang w:val="en-GB"/>
        </w:rPr>
        <w:t xml:space="preserve"> infringement or </w:t>
      </w:r>
      <w:r w:rsidR="00300ACC">
        <w:t>Contributory I</w:t>
      </w:r>
      <w:r w:rsidR="00300ACC" w:rsidRPr="00AF24CF">
        <w:t>nfringement</w:t>
      </w:r>
      <w:r w:rsidR="00F34B48">
        <w:rPr>
          <w:lang w:val="en-GB"/>
        </w:rPr>
        <w:t xml:space="preserve">. </w:t>
      </w:r>
      <w:r w:rsidR="008C67ED">
        <w:rPr>
          <w:lang w:val="en-GB"/>
        </w:rPr>
        <w:t xml:space="preserve">In general, </w:t>
      </w:r>
      <w:r w:rsidR="008E44A0">
        <w:rPr>
          <w:lang w:val="en-GB"/>
        </w:rPr>
        <w:t xml:space="preserve">an </w:t>
      </w:r>
      <w:r w:rsidR="008C67ED">
        <w:rPr>
          <w:lang w:val="en-GB"/>
        </w:rPr>
        <w:t>act can qualify as</w:t>
      </w:r>
      <w:r>
        <w:rPr>
          <w:lang w:val="en-GB"/>
        </w:rPr>
        <w:t>:</w:t>
      </w:r>
    </w:p>
    <w:p w14:paraId="73FD0B11" w14:textId="18F2763E" w:rsidR="008C67ED" w:rsidRPr="006B6EDD" w:rsidRDefault="008C67ED" w:rsidP="006B6EDD">
      <w:pPr>
        <w:pStyle w:val="Para-a"/>
      </w:pPr>
      <w:r w:rsidRPr="006B6EDD">
        <w:t>suppor</w:t>
      </w:r>
      <w:r w:rsidR="006B6EDD">
        <w:t>t of infringing acts (Beihilfe);</w:t>
      </w:r>
    </w:p>
    <w:p w14:paraId="700FAB72" w14:textId="07591101" w:rsidR="008C67ED" w:rsidRPr="006B6EDD" w:rsidRDefault="008C67ED" w:rsidP="006B6EDD">
      <w:pPr>
        <w:pStyle w:val="Para-a"/>
      </w:pPr>
      <w:r w:rsidRPr="006B6EDD">
        <w:t xml:space="preserve">inducement </w:t>
      </w:r>
      <w:r w:rsidR="006B6EDD">
        <w:t>of infringing acts (Anstiftung);</w:t>
      </w:r>
    </w:p>
    <w:p w14:paraId="67BD2B9A" w14:textId="55907258" w:rsidR="008C67ED" w:rsidRPr="006B6EDD" w:rsidRDefault="008C67ED" w:rsidP="006B6EDD">
      <w:pPr>
        <w:pStyle w:val="Para-a"/>
      </w:pPr>
      <w:r w:rsidRPr="006B6EDD">
        <w:t>joint tortfeasors</w:t>
      </w:r>
      <w:r w:rsidR="006B6EDD">
        <w:t>hip (Mittäterschaft);</w:t>
      </w:r>
      <w:r w:rsidRPr="006B6EDD">
        <w:t xml:space="preserve"> or</w:t>
      </w:r>
    </w:p>
    <w:p w14:paraId="764F88C8" w14:textId="58230594" w:rsidR="008C67ED" w:rsidRPr="006B6EDD" w:rsidRDefault="008C67ED" w:rsidP="006B6EDD">
      <w:pPr>
        <w:pStyle w:val="Para-a"/>
      </w:pPr>
      <w:r w:rsidRPr="006B6EDD">
        <w:t>indirect tortfeasorship (mittelbare Täterschaft).</w:t>
      </w:r>
    </w:p>
    <w:p w14:paraId="5577E9A7" w14:textId="6F8E0256" w:rsidR="00F34B48" w:rsidRDefault="0093103F" w:rsidP="009D33DA">
      <w:pPr>
        <w:pStyle w:val="Para-1"/>
        <w:rPr>
          <w:lang w:val="en-GB"/>
        </w:rPr>
      </w:pPr>
      <w:r>
        <w:rPr>
          <w:lang w:val="en-GB"/>
        </w:rPr>
        <w:lastRenderedPageBreak/>
        <w:t>A</w:t>
      </w:r>
      <w:r w:rsidR="009D33DA" w:rsidRPr="003765AE">
        <w:rPr>
          <w:lang w:val="en-GB"/>
        </w:rPr>
        <w:t>cts supporting infringement</w:t>
      </w:r>
      <w:r>
        <w:rPr>
          <w:lang w:val="en-GB"/>
        </w:rPr>
        <w:t xml:space="preserve"> result </w:t>
      </w:r>
      <w:r w:rsidRPr="003765AE">
        <w:rPr>
          <w:lang w:val="en-GB"/>
        </w:rPr>
        <w:t xml:space="preserve">at least in </w:t>
      </w:r>
      <w:r w:rsidR="000931B7">
        <w:rPr>
          <w:lang w:val="en-GB"/>
        </w:rPr>
        <w:t xml:space="preserve">availability of </w:t>
      </w:r>
      <w:r w:rsidRPr="003765AE">
        <w:rPr>
          <w:lang w:val="en-GB"/>
        </w:rPr>
        <w:t>injunctive relief</w:t>
      </w:r>
      <w:r>
        <w:rPr>
          <w:lang w:val="en-GB"/>
        </w:rPr>
        <w:t xml:space="preserve">, </w:t>
      </w:r>
      <w:r w:rsidR="009D33DA" w:rsidRPr="003765AE">
        <w:rPr>
          <w:lang w:val="en-GB"/>
        </w:rPr>
        <w:t>even if an element of knowledge</w:t>
      </w:r>
      <w:r w:rsidR="00841661">
        <w:rPr>
          <w:lang w:val="en-GB"/>
        </w:rPr>
        <w:t xml:space="preserve"> </w:t>
      </w:r>
      <w:r>
        <w:rPr>
          <w:lang w:val="en-GB"/>
        </w:rPr>
        <w:t>/</w:t>
      </w:r>
      <w:r w:rsidR="00841661">
        <w:rPr>
          <w:lang w:val="en-GB"/>
        </w:rPr>
        <w:t xml:space="preserve"> </w:t>
      </w:r>
      <w:r>
        <w:rPr>
          <w:lang w:val="en-GB"/>
        </w:rPr>
        <w:t>inten</w:t>
      </w:r>
      <w:r w:rsidR="006B6EDD">
        <w:rPr>
          <w:lang w:val="en-GB"/>
        </w:rPr>
        <w:t>t</w:t>
      </w:r>
      <w:r w:rsidR="009D33DA" w:rsidRPr="003765AE">
        <w:rPr>
          <w:lang w:val="en-GB"/>
        </w:rPr>
        <w:t xml:space="preserve"> is lacking</w:t>
      </w:r>
      <w:r w:rsidR="006B6EDD">
        <w:rPr>
          <w:lang w:val="en-GB"/>
        </w:rPr>
        <w:t>. D</w:t>
      </w:r>
      <w:r w:rsidR="00681536">
        <w:rPr>
          <w:lang w:val="en-GB"/>
        </w:rPr>
        <w:t xml:space="preserve">amages are </w:t>
      </w:r>
      <w:r w:rsidR="006B6EDD">
        <w:rPr>
          <w:lang w:val="en-GB"/>
        </w:rPr>
        <w:t xml:space="preserve">also </w:t>
      </w:r>
      <w:r w:rsidR="00681536">
        <w:rPr>
          <w:lang w:val="en-GB"/>
        </w:rPr>
        <w:t xml:space="preserve">available if </w:t>
      </w:r>
      <w:r w:rsidR="00F34B48">
        <w:rPr>
          <w:lang w:val="en-GB"/>
        </w:rPr>
        <w:t xml:space="preserve">certain </w:t>
      </w:r>
      <w:r w:rsidR="00681536">
        <w:rPr>
          <w:lang w:val="en-GB"/>
        </w:rPr>
        <w:t xml:space="preserve">subjective elements are present. </w:t>
      </w:r>
      <w:r>
        <w:rPr>
          <w:lang w:val="en-GB"/>
        </w:rPr>
        <w:t>Inducement of infringing acts, joint tortfeasorship and indirect tortfeasorship always require elements of knowledge and inten</w:t>
      </w:r>
      <w:r w:rsidR="006B6EDD">
        <w:rPr>
          <w:lang w:val="en-GB"/>
        </w:rPr>
        <w:t>t</w:t>
      </w:r>
      <w:r>
        <w:rPr>
          <w:lang w:val="en-GB"/>
        </w:rPr>
        <w:t xml:space="preserve">. </w:t>
      </w:r>
      <w:r w:rsidR="00397BB5">
        <w:rPr>
          <w:lang w:val="en-GB"/>
        </w:rPr>
        <w:t xml:space="preserve">All these acts need to relate to acts of direct </w:t>
      </w:r>
      <w:r w:rsidR="00484807">
        <w:rPr>
          <w:lang w:val="en-GB"/>
        </w:rPr>
        <w:t xml:space="preserve">infringement </w:t>
      </w:r>
      <w:r w:rsidR="00397BB5">
        <w:rPr>
          <w:lang w:val="en-GB"/>
        </w:rPr>
        <w:t xml:space="preserve">or </w:t>
      </w:r>
      <w:r w:rsidR="00300ACC">
        <w:t>Contributory I</w:t>
      </w:r>
      <w:r w:rsidR="00300ACC" w:rsidRPr="00AF24CF">
        <w:t>nfringement</w:t>
      </w:r>
      <w:r w:rsidR="00397BB5">
        <w:rPr>
          <w:lang w:val="en-GB"/>
        </w:rPr>
        <w:t xml:space="preserve">. </w:t>
      </w:r>
      <w:r w:rsidR="006B3F6B">
        <w:rPr>
          <w:lang w:val="en-GB"/>
        </w:rPr>
        <w:t>Q</w:t>
      </w:r>
      <w:r w:rsidR="00397BB5">
        <w:rPr>
          <w:lang w:val="en-GB"/>
        </w:rPr>
        <w:t xml:space="preserve">uestions of conflict of laws arise if these acts of direct </w:t>
      </w:r>
      <w:r w:rsidR="00484807">
        <w:rPr>
          <w:lang w:val="en-GB"/>
        </w:rPr>
        <w:t xml:space="preserve">infringement </w:t>
      </w:r>
      <w:r w:rsidR="00397BB5">
        <w:rPr>
          <w:lang w:val="en-GB"/>
        </w:rPr>
        <w:t xml:space="preserve">or </w:t>
      </w:r>
      <w:r w:rsidR="00300ACC">
        <w:t>Contributory I</w:t>
      </w:r>
      <w:r w:rsidR="00300ACC" w:rsidRPr="00AF24CF">
        <w:t>nfringement</w:t>
      </w:r>
      <w:r w:rsidR="00397BB5">
        <w:rPr>
          <w:lang w:val="en-GB"/>
        </w:rPr>
        <w:t xml:space="preserve"> are committed (partly) outside Germany.</w:t>
      </w:r>
    </w:p>
    <w:p w14:paraId="0874C9D9" w14:textId="42435D39" w:rsidR="006B6EDD" w:rsidRPr="006B6EDD" w:rsidRDefault="006B6EDD" w:rsidP="006B6EDD">
      <w:pPr>
        <w:pStyle w:val="Para-1"/>
        <w:keepNext/>
        <w:numPr>
          <w:ilvl w:val="0"/>
          <w:numId w:val="0"/>
        </w:numPr>
        <w:rPr>
          <w:i/>
          <w:lang w:val="en-GB"/>
        </w:rPr>
      </w:pPr>
      <w:r>
        <w:rPr>
          <w:i/>
          <w:lang w:val="en-GB"/>
        </w:rPr>
        <w:t>UK law</w:t>
      </w:r>
    </w:p>
    <w:p w14:paraId="7A7D1258" w14:textId="0C7088AB" w:rsidR="009D33DA" w:rsidRPr="003765AE" w:rsidRDefault="009D33DA" w:rsidP="009D33DA">
      <w:pPr>
        <w:pStyle w:val="Para-1"/>
        <w:rPr>
          <w:lang w:val="en-GB"/>
        </w:rPr>
      </w:pPr>
      <w:r w:rsidRPr="003765AE">
        <w:rPr>
          <w:lang w:val="en-GB"/>
        </w:rPr>
        <w:t xml:space="preserve">In the UK, direct and </w:t>
      </w:r>
      <w:r w:rsidR="00300ACC">
        <w:t>Indirect Infringement</w:t>
      </w:r>
      <w:r w:rsidRPr="003765AE">
        <w:rPr>
          <w:lang w:val="en-GB"/>
        </w:rPr>
        <w:t xml:space="preserve"> of IP are torts defined by statute. However, it is possible for a person to be liable for those torts even if they have not committed acts that would fall within the statutory definitions of infringement. This liability can arise because:</w:t>
      </w:r>
    </w:p>
    <w:p w14:paraId="2B35B5E7" w14:textId="5A132E2A" w:rsidR="009D33DA" w:rsidRPr="006B6EDD" w:rsidRDefault="009D33DA" w:rsidP="006B6EDD">
      <w:pPr>
        <w:pStyle w:val="Para-a"/>
      </w:pPr>
      <w:r w:rsidRPr="006B6EDD">
        <w:t>the party participated together with others in a common design to infringe, where at least one of the others committed a statutory infringing act. The parties together are joint tortfeasors, and their liability is joint and several, i.e. they are each separately liable in full for the total loss suffered; or</w:t>
      </w:r>
    </w:p>
    <w:p w14:paraId="46902307" w14:textId="2CDEDD45" w:rsidR="009D33DA" w:rsidRPr="006B6EDD" w:rsidRDefault="009D33DA" w:rsidP="006B6EDD">
      <w:pPr>
        <w:pStyle w:val="Para-a"/>
      </w:pPr>
      <w:r w:rsidRPr="006B6EDD">
        <w:t>the party incited the commission of a statutory tort of infringement by someone else. This in itself is a tort.</w:t>
      </w:r>
    </w:p>
    <w:p w14:paraId="229CA1A8" w14:textId="1CBA1259" w:rsidR="009D33DA" w:rsidRPr="001C43C8" w:rsidRDefault="009D33DA" w:rsidP="009D33DA">
      <w:pPr>
        <w:pStyle w:val="Para-1"/>
        <w:rPr>
          <w:lang w:val="en-GB"/>
        </w:rPr>
      </w:pPr>
      <w:r w:rsidRPr="001C43C8">
        <w:rPr>
          <w:lang w:val="en-GB"/>
        </w:rPr>
        <w:t xml:space="preserve">An allegation of common design is the preferred approach under </w:t>
      </w:r>
      <w:r w:rsidR="00484807" w:rsidRPr="001C43C8">
        <w:rPr>
          <w:lang w:val="en-GB"/>
        </w:rPr>
        <w:t xml:space="preserve">modern </w:t>
      </w:r>
      <w:r w:rsidRPr="001C43C8">
        <w:rPr>
          <w:lang w:val="en-GB"/>
        </w:rPr>
        <w:t>UK law.  Mere passive receipt of information about infringing acts is not enough to trigger liability for joint tortfeasance</w:t>
      </w:r>
      <w:r w:rsidR="00841661">
        <w:rPr>
          <w:lang w:val="en-GB"/>
        </w:rPr>
        <w:t xml:space="preserve"> </w:t>
      </w:r>
      <w:r w:rsidRPr="001C43C8">
        <w:rPr>
          <w:lang w:val="en-GB"/>
        </w:rPr>
        <w:t>/</w:t>
      </w:r>
      <w:r w:rsidR="00841661">
        <w:rPr>
          <w:lang w:val="en-GB"/>
        </w:rPr>
        <w:t xml:space="preserve"> </w:t>
      </w:r>
      <w:r w:rsidRPr="001C43C8">
        <w:rPr>
          <w:lang w:val="en-GB"/>
        </w:rPr>
        <w:t>common design.  The involvement has to be active enough to amount to real participation.  For example, a parent company owning 100% of the shares of a subsidiary that infringes does not, without more, automatically mean that the parent company is engaged in a common design with the subsidiary.</w:t>
      </w:r>
    </w:p>
    <w:p w14:paraId="6DF262E6" w14:textId="295EA6B1" w:rsidR="009D33DA" w:rsidRPr="001C43C8" w:rsidRDefault="009D33DA" w:rsidP="009D33DA">
      <w:pPr>
        <w:pStyle w:val="Para-1"/>
        <w:rPr>
          <w:lang w:val="en-GB"/>
        </w:rPr>
      </w:pPr>
      <w:r w:rsidRPr="001C43C8">
        <w:rPr>
          <w:lang w:val="en-GB"/>
        </w:rPr>
        <w:t>One of the problems of statutory infringement is that the infringing act must occur in the UK. This is not necessarily the case with common design: depending on the nature of the participation, liability as a joint tortfeasor can be established even if all the relevant acts that give rise to that liability took place outside the UK.</w:t>
      </w:r>
    </w:p>
    <w:p w14:paraId="06C90C97" w14:textId="72F320F7" w:rsidR="009D33DA" w:rsidRDefault="006B6EDD" w:rsidP="009D33DA">
      <w:pPr>
        <w:pStyle w:val="Para-1"/>
        <w:rPr>
          <w:lang w:val="en-GB"/>
        </w:rPr>
      </w:pPr>
      <w:r>
        <w:rPr>
          <w:lang w:val="en-GB"/>
        </w:rPr>
        <w:t>T</w:t>
      </w:r>
      <w:r w:rsidR="009D33DA" w:rsidRPr="001C43C8">
        <w:rPr>
          <w:lang w:val="en-GB"/>
        </w:rPr>
        <w:t xml:space="preserve">he jurisdiction of the court must be anchored in an actionable tort in the UK.  This can be the statutory tort of infringement, and expanding a case to include participants in a common design will need to be justified and explained at the outset if those parties are located outside the UK.  It is therefore not the case that the existence of a single infringer who commits a statutory tort of infringement in the UK means that parties in a common design located outside the UK can automatically be joined into the case as defendants. </w:t>
      </w:r>
    </w:p>
    <w:p w14:paraId="7444A2CE" w14:textId="128D192E" w:rsidR="006B6EDD" w:rsidRPr="006B6EDD" w:rsidRDefault="006B6EDD" w:rsidP="006B6EDD">
      <w:pPr>
        <w:pStyle w:val="Para-1"/>
        <w:keepNext/>
        <w:numPr>
          <w:ilvl w:val="0"/>
          <w:numId w:val="0"/>
        </w:numPr>
        <w:rPr>
          <w:i/>
          <w:lang w:val="en-GB"/>
        </w:rPr>
      </w:pPr>
      <w:r>
        <w:rPr>
          <w:i/>
          <w:lang w:val="en-GB"/>
        </w:rPr>
        <w:t>U.S. law</w:t>
      </w:r>
    </w:p>
    <w:p w14:paraId="2FA91392" w14:textId="2EA596A9" w:rsidR="006B6EDD" w:rsidRDefault="006B6EDD" w:rsidP="009D33DA">
      <w:pPr>
        <w:pStyle w:val="Para-1"/>
        <w:rPr>
          <w:lang w:val="en-GB"/>
        </w:rPr>
      </w:pPr>
      <w:r>
        <w:rPr>
          <w:lang w:val="en-GB"/>
        </w:rPr>
        <w:t>U.S.</w:t>
      </w:r>
      <w:r w:rsidR="009D33DA" w:rsidRPr="001C43C8">
        <w:rPr>
          <w:lang w:val="en-GB"/>
        </w:rPr>
        <w:t xml:space="preserve"> patent law defines two types of indirect patent infringement: </w:t>
      </w:r>
      <w:r w:rsidR="00484807">
        <w:rPr>
          <w:lang w:val="en-GB"/>
        </w:rPr>
        <w:t>c</w:t>
      </w:r>
      <w:r w:rsidR="00300ACC">
        <w:t xml:space="preserve">ontributory </w:t>
      </w:r>
      <w:r w:rsidR="00484807">
        <w:t>i</w:t>
      </w:r>
      <w:r w:rsidR="00300ACC" w:rsidRPr="00AF24CF">
        <w:t>nfringement</w:t>
      </w:r>
      <w:r w:rsidR="009D33DA" w:rsidRPr="001C43C8">
        <w:rPr>
          <w:lang w:val="en-GB"/>
        </w:rPr>
        <w:t xml:space="preserve"> and inducement.  Regarding contributory patent infringement</w:t>
      </w:r>
      <w:r w:rsidR="00484807">
        <w:rPr>
          <w:lang w:val="en-GB"/>
        </w:rPr>
        <w:t xml:space="preserve"> (hereafter referred to as </w:t>
      </w:r>
      <w:r w:rsidR="00484807">
        <w:rPr>
          <w:b/>
          <w:i/>
          <w:lang w:val="en-GB"/>
        </w:rPr>
        <w:t>U.S. contributory infringement</w:t>
      </w:r>
      <w:r w:rsidR="009D33DA" w:rsidRPr="001C43C8">
        <w:rPr>
          <w:lang w:val="en-GB"/>
        </w:rPr>
        <w:t>, 35 U.S.C. § 271(c) provides</w:t>
      </w:r>
      <w:r>
        <w:rPr>
          <w:lang w:val="en-GB"/>
        </w:rPr>
        <w:t>:</w:t>
      </w:r>
      <w:r w:rsidR="009D33DA" w:rsidRPr="001C43C8">
        <w:rPr>
          <w:lang w:val="en-GB"/>
        </w:rPr>
        <w:t xml:space="preserve"> </w:t>
      </w:r>
    </w:p>
    <w:p w14:paraId="2BACCAE4" w14:textId="77777777" w:rsidR="006B6EDD" w:rsidRPr="00747C21" w:rsidRDefault="006B6EDD" w:rsidP="00747C21">
      <w:pPr>
        <w:pStyle w:val="Para-1"/>
        <w:numPr>
          <w:ilvl w:val="0"/>
          <w:numId w:val="0"/>
        </w:numPr>
        <w:ind w:left="1440"/>
        <w:rPr>
          <w:i/>
          <w:lang w:val="en-GB"/>
        </w:rPr>
      </w:pPr>
      <w:r w:rsidRPr="00747C21">
        <w:rPr>
          <w:i/>
          <w:lang w:val="en-GB"/>
        </w:rPr>
        <w:lastRenderedPageBreak/>
        <w:t xml:space="preserve">Whoever offers to sell or sells within the United States or imports into the United States a component of a patented machine, manufacture, combination or composition, or a material or an apparatus for use in practicing a patented process, constituting a material part of the invention, knowing the same to be especially made or especially adapted for use in an infringement of such patent, and not a staple article or commodity of commerce suitable for substantial noninfringing use, shall be liable as a contributory infringer.  </w:t>
      </w:r>
    </w:p>
    <w:p w14:paraId="09799A5B" w14:textId="2041F9E2" w:rsidR="006B6EDD" w:rsidRDefault="006B6EDD" w:rsidP="006B6EDD">
      <w:pPr>
        <w:pStyle w:val="Para-1"/>
        <w:numPr>
          <w:ilvl w:val="0"/>
          <w:numId w:val="0"/>
        </w:numPr>
        <w:ind w:left="709"/>
        <w:rPr>
          <w:lang w:val="en-GB"/>
        </w:rPr>
      </w:pPr>
      <w:r w:rsidRPr="006B6EDD">
        <w:rPr>
          <w:lang w:val="en-GB"/>
        </w:rPr>
        <w:t xml:space="preserve">Thus, both knowledge of the patent and knowledge (or “wilful blindness”) that their actions would lead to infringement of the patent are requirements for a finding of </w:t>
      </w:r>
      <w:r w:rsidR="00484807">
        <w:rPr>
          <w:lang w:val="en-GB"/>
        </w:rPr>
        <w:t>U.S. c</w:t>
      </w:r>
      <w:r w:rsidR="00300ACC">
        <w:t xml:space="preserve">ontributory </w:t>
      </w:r>
      <w:r w:rsidR="00484807">
        <w:t>i</w:t>
      </w:r>
      <w:r w:rsidR="00300ACC" w:rsidRPr="00AF24CF">
        <w:t>nfringement</w:t>
      </w:r>
      <w:r w:rsidRPr="006B6EDD">
        <w:rPr>
          <w:lang w:val="en-GB"/>
        </w:rPr>
        <w:t xml:space="preserve">.  </w:t>
      </w:r>
    </w:p>
    <w:p w14:paraId="4F590D68" w14:textId="77777777" w:rsidR="00747C21" w:rsidRDefault="00747C21" w:rsidP="006225C1">
      <w:pPr>
        <w:pStyle w:val="Para-1"/>
        <w:keepNext/>
        <w:rPr>
          <w:lang w:val="en-GB"/>
        </w:rPr>
      </w:pPr>
      <w:r w:rsidRPr="001C43C8">
        <w:rPr>
          <w:lang w:val="en-GB"/>
        </w:rPr>
        <w:t>Regarding inducement of patent infringement, 35 U.S.C. § 271(c) provides</w:t>
      </w:r>
      <w:r>
        <w:rPr>
          <w:lang w:val="en-GB"/>
        </w:rPr>
        <w:t>:</w:t>
      </w:r>
      <w:r w:rsidRPr="001C43C8">
        <w:rPr>
          <w:lang w:val="en-GB"/>
        </w:rPr>
        <w:t xml:space="preserve"> </w:t>
      </w:r>
    </w:p>
    <w:p w14:paraId="0A590BA1" w14:textId="77777777" w:rsidR="00747C21" w:rsidRDefault="00747C21" w:rsidP="00747C21">
      <w:pPr>
        <w:pStyle w:val="Para-1"/>
        <w:numPr>
          <w:ilvl w:val="0"/>
          <w:numId w:val="0"/>
        </w:numPr>
        <w:ind w:left="1440"/>
        <w:rPr>
          <w:lang w:val="en-GB"/>
        </w:rPr>
      </w:pPr>
      <w:r w:rsidRPr="00DB24DA">
        <w:rPr>
          <w:i/>
          <w:lang w:val="en-GB"/>
        </w:rPr>
        <w:t>Whoever actively induces infringement of a patent shall be liable as an infringer</w:t>
      </w:r>
      <w:r w:rsidRPr="001C43C8">
        <w:rPr>
          <w:lang w:val="en-GB"/>
        </w:rPr>
        <w:t xml:space="preserve">.  </w:t>
      </w:r>
    </w:p>
    <w:p w14:paraId="1768C9A0" w14:textId="7598B7C0" w:rsidR="006B6EDD" w:rsidRDefault="00747C21" w:rsidP="00747C21">
      <w:pPr>
        <w:pStyle w:val="Para-1"/>
        <w:numPr>
          <w:ilvl w:val="0"/>
          <w:numId w:val="0"/>
        </w:numPr>
        <w:ind w:left="720"/>
        <w:rPr>
          <w:lang w:val="en-GB"/>
        </w:rPr>
      </w:pPr>
      <w:r w:rsidRPr="001C43C8">
        <w:rPr>
          <w:lang w:val="en-GB"/>
        </w:rPr>
        <w:t xml:space="preserve">Although </w:t>
      </w:r>
      <w:r>
        <w:rPr>
          <w:lang w:val="en-GB"/>
        </w:rPr>
        <w:t>the</w:t>
      </w:r>
      <w:r w:rsidRPr="001C43C8">
        <w:rPr>
          <w:lang w:val="en-GB"/>
        </w:rPr>
        <w:t xml:space="preserve"> statute does not mention a knowledge element, case law has found active inducement to imply knowledge of the patent and knowledge that the inducing acts – such as asking another to perform the infringement or selling a product with instructions for an infringing use – would result in infringement.</w:t>
      </w:r>
    </w:p>
    <w:p w14:paraId="6C932DBC" w14:textId="3C71806C" w:rsidR="009D33DA" w:rsidRPr="001C43C8" w:rsidRDefault="009D33DA" w:rsidP="009D33DA">
      <w:pPr>
        <w:pStyle w:val="Para-1"/>
        <w:rPr>
          <w:lang w:val="en-GB"/>
        </w:rPr>
      </w:pPr>
      <w:r w:rsidRPr="001C43C8">
        <w:rPr>
          <w:lang w:val="en-GB"/>
        </w:rPr>
        <w:t xml:space="preserve">For both </w:t>
      </w:r>
      <w:r w:rsidR="00484807">
        <w:rPr>
          <w:lang w:val="en-GB"/>
        </w:rPr>
        <w:t>U.S. c</w:t>
      </w:r>
      <w:r w:rsidR="00300ACC">
        <w:t xml:space="preserve">ontributory </w:t>
      </w:r>
      <w:r w:rsidR="00484807">
        <w:t>i</w:t>
      </w:r>
      <w:r w:rsidR="00300ACC" w:rsidRPr="00AF24CF">
        <w:t>nfringement</w:t>
      </w:r>
      <w:r w:rsidRPr="001C43C8">
        <w:rPr>
          <w:lang w:val="en-GB"/>
        </w:rPr>
        <w:t xml:space="preserve"> </w:t>
      </w:r>
      <w:r w:rsidR="00484807">
        <w:rPr>
          <w:lang w:val="en-GB"/>
        </w:rPr>
        <w:t xml:space="preserve">(under U.S. law) </w:t>
      </w:r>
      <w:r w:rsidRPr="001C43C8">
        <w:rPr>
          <w:lang w:val="en-GB"/>
        </w:rPr>
        <w:t xml:space="preserve">and inducement, a threshold requirement is the existence of direct infringement.  Therefore, in cases where direct infringement has not occurred or results from the activities of unrelated parties, a claim for </w:t>
      </w:r>
      <w:r w:rsidR="00484807">
        <w:rPr>
          <w:lang w:val="en-GB"/>
        </w:rPr>
        <w:t>U.S. c</w:t>
      </w:r>
      <w:r w:rsidR="00484807">
        <w:t>ontributory i</w:t>
      </w:r>
      <w:r w:rsidR="00300ACC" w:rsidRPr="00AF24CF">
        <w:t>nfringement</w:t>
      </w:r>
      <w:r w:rsidRPr="001C43C8">
        <w:rPr>
          <w:lang w:val="en-GB"/>
        </w:rPr>
        <w:t xml:space="preserve"> is not available even when the knowledge elements are present.</w:t>
      </w:r>
    </w:p>
    <w:p w14:paraId="654E8665" w14:textId="28069A2A" w:rsidR="009D33DA" w:rsidRPr="003765AE" w:rsidRDefault="00300ACC" w:rsidP="009D33DA">
      <w:pPr>
        <w:pStyle w:val="Para-1"/>
        <w:rPr>
          <w:lang w:val="en-GB"/>
        </w:rPr>
      </w:pPr>
      <w:r>
        <w:t>Indirect Infringement</w:t>
      </w:r>
      <w:r w:rsidR="00484807">
        <w:rPr>
          <w:lang w:val="en-GB"/>
        </w:rPr>
        <w:t xml:space="preserve"> of copyright</w:t>
      </w:r>
      <w:r w:rsidR="009D33DA" w:rsidRPr="001C43C8">
        <w:rPr>
          <w:lang w:val="en-GB"/>
        </w:rPr>
        <w:t xml:space="preserve"> and trademarks is not explicitly defined by statute in the U</w:t>
      </w:r>
      <w:r w:rsidR="00484807">
        <w:rPr>
          <w:lang w:val="en-GB"/>
        </w:rPr>
        <w:t>.</w:t>
      </w:r>
      <w:r w:rsidR="009D33DA" w:rsidRPr="001C43C8">
        <w:rPr>
          <w:lang w:val="en-GB"/>
        </w:rPr>
        <w:t>S.  However, under the case law</w:t>
      </w:r>
      <w:r w:rsidR="00484807">
        <w:rPr>
          <w:lang w:val="en-GB"/>
        </w:rPr>
        <w:t>,</w:t>
      </w:r>
      <w:r w:rsidR="009D33DA" w:rsidRPr="001C43C8">
        <w:rPr>
          <w:lang w:val="en-GB"/>
        </w:rPr>
        <w:t xml:space="preserve"> liability for </w:t>
      </w:r>
      <w:r>
        <w:t>Indirect Infringement</w:t>
      </w:r>
      <w:r w:rsidR="009D33DA" w:rsidRPr="001C43C8">
        <w:rPr>
          <w:lang w:val="en-GB"/>
        </w:rPr>
        <w:t xml:space="preserve"> may fall on a party who, while not directly engaging in copyright or trademark infringement, knowingly induces or materially contributes to such infringement.</w:t>
      </w:r>
    </w:p>
    <w:p w14:paraId="3A0D2AA8" w14:textId="77777777" w:rsidR="005E5639" w:rsidRPr="00BC47D1" w:rsidRDefault="005E5639" w:rsidP="00535F00">
      <w:pPr>
        <w:rPr>
          <w:lang w:val="en-GB"/>
        </w:rPr>
      </w:pPr>
    </w:p>
    <w:p w14:paraId="262A3577" w14:textId="77777777" w:rsidR="00736AE4" w:rsidRPr="00EC6D7D" w:rsidRDefault="00736AE4" w:rsidP="001B01A4">
      <w:pPr>
        <w:keepNext/>
        <w:rPr>
          <w:b/>
          <w:i/>
          <w:lang w:eastAsia="ja-JP"/>
        </w:rPr>
      </w:pPr>
      <w:r w:rsidRPr="00EC6D7D">
        <w:rPr>
          <w:b/>
          <w:i/>
          <w:lang w:eastAsia="ja-JP"/>
        </w:rPr>
        <w:t>You are invited to submit a Report addressing the questions below. Please refer to the 'Protocol for the preparation of Reports'.</w:t>
      </w:r>
    </w:p>
    <w:p w14:paraId="3C51E62E" w14:textId="77777777" w:rsidR="00736AE4" w:rsidRPr="007956E3" w:rsidRDefault="00736AE4" w:rsidP="00CC7413">
      <w:pPr>
        <w:pStyle w:val="HeadingBold"/>
      </w:pPr>
      <w:r w:rsidRPr="007956E3">
        <w:t>Questions</w:t>
      </w:r>
    </w:p>
    <w:p w14:paraId="2CF84549" w14:textId="77777777" w:rsidR="00074188" w:rsidRDefault="00074188" w:rsidP="00CC7413">
      <w:pPr>
        <w:pStyle w:val="QHeadingI"/>
      </w:pPr>
      <w:r>
        <w:t>Current law and practice</w:t>
      </w:r>
    </w:p>
    <w:p w14:paraId="4B86BB70" w14:textId="77777777" w:rsidR="00671192" w:rsidRPr="00671192" w:rsidRDefault="00671192" w:rsidP="00671192">
      <w:pPr>
        <w:rPr>
          <w:i/>
        </w:rPr>
      </w:pPr>
      <w:r w:rsidRPr="00671192">
        <w:rPr>
          <w:i/>
        </w:rPr>
        <w:t>Please answer all questions in Part I on the basis of your Group's current law.</w:t>
      </w:r>
    </w:p>
    <w:p w14:paraId="0AD1A131" w14:textId="793C0495" w:rsidR="0019254D" w:rsidRPr="00D41C76" w:rsidRDefault="00753924" w:rsidP="00CC7413">
      <w:pPr>
        <w:pStyle w:val="QPara-1"/>
        <w:rPr>
          <w:lang w:val="en-GB"/>
        </w:rPr>
      </w:pPr>
      <w:r w:rsidRPr="006941CF">
        <w:rPr>
          <w:lang w:val="en-GB"/>
        </w:rPr>
        <w:t xml:space="preserve">Are there any statutory provisions which specifically apply to </w:t>
      </w:r>
      <w:r w:rsidR="0017652D">
        <w:rPr>
          <w:lang w:val="en-GB"/>
        </w:rPr>
        <w:t>Joint Liability</w:t>
      </w:r>
      <w:r w:rsidRPr="006941CF">
        <w:rPr>
          <w:lang w:val="en-GB"/>
        </w:rPr>
        <w:t>?</w:t>
      </w:r>
      <w:r>
        <w:rPr>
          <w:lang w:val="en-GB"/>
        </w:rPr>
        <w:t xml:space="preserve"> If yes, please </w:t>
      </w:r>
      <w:r w:rsidR="00484807">
        <w:rPr>
          <w:lang w:val="en-GB"/>
        </w:rPr>
        <w:t xml:space="preserve">briefly </w:t>
      </w:r>
      <w:r>
        <w:rPr>
          <w:lang w:val="en-GB"/>
        </w:rPr>
        <w:t>explain.</w:t>
      </w:r>
    </w:p>
    <w:p w14:paraId="25B1FB65" w14:textId="2E41103C" w:rsidR="00753924" w:rsidRDefault="00753924" w:rsidP="000D54A9">
      <w:pPr>
        <w:pStyle w:val="QPara-1"/>
        <w:rPr>
          <w:lang w:val="en-GB"/>
        </w:rPr>
      </w:pPr>
      <w:r w:rsidRPr="006941CF">
        <w:rPr>
          <w:lang w:val="en-GB"/>
        </w:rPr>
        <w:t xml:space="preserve">Under the case law or judicial or administrative practice in your jurisdiction, are there rules which specifically apply to </w:t>
      </w:r>
      <w:r w:rsidR="0017652D">
        <w:rPr>
          <w:lang w:val="en-GB"/>
        </w:rPr>
        <w:t>Joint Liability</w:t>
      </w:r>
      <w:r w:rsidRPr="006941CF">
        <w:rPr>
          <w:lang w:val="en-GB"/>
        </w:rPr>
        <w:t xml:space="preserve">? If yes, please </w:t>
      </w:r>
      <w:r w:rsidR="00484807">
        <w:rPr>
          <w:lang w:val="en-GB"/>
        </w:rPr>
        <w:t xml:space="preserve">briefly </w:t>
      </w:r>
      <w:r w:rsidR="006225C1">
        <w:rPr>
          <w:lang w:val="en-GB"/>
        </w:rPr>
        <w:t>explain</w:t>
      </w:r>
      <w:r w:rsidRPr="006941CF">
        <w:rPr>
          <w:lang w:val="en-GB"/>
        </w:rPr>
        <w:t>.</w:t>
      </w:r>
    </w:p>
    <w:p w14:paraId="380629E2" w14:textId="0B6AEF98" w:rsidR="00753924" w:rsidRDefault="00002DCA" w:rsidP="000D54A9">
      <w:pPr>
        <w:pStyle w:val="QPara-1"/>
        <w:rPr>
          <w:lang w:val="en-GB"/>
        </w:rPr>
      </w:pPr>
      <w:bookmarkStart w:id="1" w:name="_Ref500677758"/>
      <w:r>
        <w:rPr>
          <w:lang w:val="en-GB"/>
        </w:rPr>
        <w:t xml:space="preserve">In the following hypotheticals, would party A be liable for </w:t>
      </w:r>
      <w:r w:rsidR="00484807">
        <w:rPr>
          <w:lang w:val="en-GB"/>
        </w:rPr>
        <w:t>J</w:t>
      </w:r>
      <w:r>
        <w:rPr>
          <w:lang w:val="en-GB"/>
        </w:rPr>
        <w:t xml:space="preserve">oint </w:t>
      </w:r>
      <w:r w:rsidR="00484807">
        <w:rPr>
          <w:lang w:val="en-GB"/>
        </w:rPr>
        <w:t>I</w:t>
      </w:r>
      <w:r>
        <w:rPr>
          <w:lang w:val="en-GB"/>
        </w:rPr>
        <w:t>nfringement</w:t>
      </w:r>
      <w:r w:rsidR="00747C21">
        <w:rPr>
          <w:lang w:val="en-GB"/>
        </w:rPr>
        <w:t xml:space="preserve"> with party</w:t>
      </w:r>
      <w:r w:rsidR="00704F07">
        <w:rPr>
          <w:lang w:val="en-GB"/>
        </w:rPr>
        <w:t xml:space="preserve"> X</w:t>
      </w:r>
      <w:r>
        <w:rPr>
          <w:lang w:val="en-GB"/>
        </w:rPr>
        <w:t xml:space="preserve">? </w:t>
      </w:r>
      <w:r w:rsidR="00704F07">
        <w:rPr>
          <w:lang w:val="en-GB"/>
        </w:rPr>
        <w:t>In each case, p</w:t>
      </w:r>
      <w:r>
        <w:rPr>
          <w:lang w:val="en-GB"/>
        </w:rPr>
        <w:t>lease explain why or why not.</w:t>
      </w:r>
      <w:bookmarkEnd w:id="1"/>
      <w:r>
        <w:rPr>
          <w:lang w:val="en-GB"/>
        </w:rPr>
        <w:t xml:space="preserve"> </w:t>
      </w:r>
    </w:p>
    <w:p w14:paraId="3E386A6C" w14:textId="17CC06AF" w:rsidR="000A1E0B" w:rsidRDefault="001A6E14" w:rsidP="00002DCA">
      <w:pPr>
        <w:pStyle w:val="QPara-a"/>
        <w:rPr>
          <w:lang w:val="en-GB"/>
        </w:rPr>
      </w:pPr>
      <w:r>
        <w:rPr>
          <w:lang w:val="en-GB"/>
        </w:rPr>
        <w:lastRenderedPageBreak/>
        <w:t>X</w:t>
      </w:r>
      <w:r w:rsidR="00002DCA" w:rsidRPr="00002DCA">
        <w:rPr>
          <w:lang w:val="en-GB"/>
        </w:rPr>
        <w:t xml:space="preserve"> sells handbags in </w:t>
      </w:r>
      <w:r w:rsidR="00704F07">
        <w:rPr>
          <w:lang w:val="en-GB"/>
        </w:rPr>
        <w:t>a</w:t>
      </w:r>
      <w:r>
        <w:rPr>
          <w:lang w:val="en-GB"/>
        </w:rPr>
        <w:t xml:space="preserve"> </w:t>
      </w:r>
      <w:r w:rsidR="00002DCA" w:rsidRPr="00002DCA">
        <w:rPr>
          <w:lang w:val="en-GB"/>
        </w:rPr>
        <w:t>shop</w:t>
      </w:r>
      <w:r>
        <w:rPr>
          <w:lang w:val="en-GB"/>
        </w:rPr>
        <w:t xml:space="preserve"> </w:t>
      </w:r>
      <w:r w:rsidR="00704F07">
        <w:rPr>
          <w:lang w:val="en-GB"/>
        </w:rPr>
        <w:t xml:space="preserve">which </w:t>
      </w:r>
      <w:r>
        <w:rPr>
          <w:lang w:val="en-GB"/>
        </w:rPr>
        <w:t xml:space="preserve">is a small stall located in a shopping mall owned by A. </w:t>
      </w:r>
      <w:r w:rsidR="00704F07">
        <w:rPr>
          <w:lang w:val="en-GB"/>
        </w:rPr>
        <w:t xml:space="preserve">The handbags infringe the registered design of Z. </w:t>
      </w:r>
      <w:r>
        <w:rPr>
          <w:lang w:val="en-GB"/>
        </w:rPr>
        <w:t>A knows that X (and other tenants) sells infringing goods.</w:t>
      </w:r>
      <w:r w:rsidR="000A1E0B">
        <w:rPr>
          <w:lang w:val="en-GB"/>
        </w:rPr>
        <w:t xml:space="preserve"> </w:t>
      </w:r>
    </w:p>
    <w:p w14:paraId="41119FC7" w14:textId="7059E819" w:rsidR="001A6E14" w:rsidRDefault="001A6E14" w:rsidP="00002DCA">
      <w:pPr>
        <w:pStyle w:val="QPara-a"/>
        <w:rPr>
          <w:lang w:val="en-GB"/>
        </w:rPr>
      </w:pPr>
      <w:r>
        <w:rPr>
          <w:lang w:val="en-GB"/>
        </w:rPr>
        <w:t>X</w:t>
      </w:r>
      <w:r w:rsidRPr="00002DCA">
        <w:rPr>
          <w:lang w:val="en-GB"/>
        </w:rPr>
        <w:t xml:space="preserve"> sells handbags in </w:t>
      </w:r>
      <w:r w:rsidR="00704F07">
        <w:rPr>
          <w:lang w:val="en-GB"/>
        </w:rPr>
        <w:t>an</w:t>
      </w:r>
      <w:r>
        <w:rPr>
          <w:lang w:val="en-GB"/>
        </w:rPr>
        <w:t xml:space="preserve"> online </w:t>
      </w:r>
      <w:r w:rsidRPr="00002DCA">
        <w:rPr>
          <w:lang w:val="en-GB"/>
        </w:rPr>
        <w:t>shop</w:t>
      </w:r>
      <w:r>
        <w:rPr>
          <w:lang w:val="en-GB"/>
        </w:rPr>
        <w:t xml:space="preserve"> </w:t>
      </w:r>
      <w:r w:rsidR="00704F07">
        <w:rPr>
          <w:lang w:val="en-GB"/>
        </w:rPr>
        <w:t xml:space="preserve">which </w:t>
      </w:r>
      <w:r>
        <w:rPr>
          <w:lang w:val="en-GB"/>
        </w:rPr>
        <w:t xml:space="preserve">is hosted by a large market place platform owned by A. </w:t>
      </w:r>
      <w:r w:rsidR="00704F07">
        <w:rPr>
          <w:lang w:val="en-GB"/>
        </w:rPr>
        <w:t xml:space="preserve">The handbags infringe the registered design of Z. </w:t>
      </w:r>
      <w:r>
        <w:rPr>
          <w:lang w:val="en-GB"/>
        </w:rPr>
        <w:t>A knows that X (and other web shop operators</w:t>
      </w:r>
      <w:r w:rsidR="001050DB">
        <w:rPr>
          <w:lang w:val="en-GB"/>
        </w:rPr>
        <w:t xml:space="preserve"> hosted by </w:t>
      </w:r>
      <w:r w:rsidR="006225C1">
        <w:rPr>
          <w:lang w:val="en-GB"/>
        </w:rPr>
        <w:t>A's</w:t>
      </w:r>
      <w:r w:rsidR="001050DB">
        <w:rPr>
          <w:lang w:val="en-GB"/>
        </w:rPr>
        <w:t xml:space="preserve"> market place</w:t>
      </w:r>
      <w:r w:rsidR="006225C1">
        <w:rPr>
          <w:lang w:val="en-GB"/>
        </w:rPr>
        <w:t xml:space="preserve"> platform</w:t>
      </w:r>
      <w:r>
        <w:rPr>
          <w:lang w:val="en-GB"/>
        </w:rPr>
        <w:t xml:space="preserve">) sells infringing goods </w:t>
      </w:r>
      <w:r w:rsidR="00704F07">
        <w:rPr>
          <w:lang w:val="en-GB"/>
        </w:rPr>
        <w:t>via their respective outline shops</w:t>
      </w:r>
      <w:r>
        <w:rPr>
          <w:lang w:val="en-GB"/>
        </w:rPr>
        <w:t>.</w:t>
      </w:r>
    </w:p>
    <w:p w14:paraId="127C61A6" w14:textId="1EE2B5B0" w:rsidR="000A1E0B" w:rsidRDefault="000A1E0B" w:rsidP="000A1E0B">
      <w:pPr>
        <w:pStyle w:val="QPara-a"/>
        <w:rPr>
          <w:lang w:val="en-GB"/>
        </w:rPr>
      </w:pPr>
      <w:r>
        <w:rPr>
          <w:lang w:val="en-GB"/>
        </w:rPr>
        <w:t>X</w:t>
      </w:r>
      <w:r w:rsidRPr="00002DCA">
        <w:rPr>
          <w:lang w:val="en-GB"/>
        </w:rPr>
        <w:t xml:space="preserve"> sells handbags in </w:t>
      </w:r>
      <w:r w:rsidR="00704F07">
        <w:rPr>
          <w:lang w:val="en-GB"/>
        </w:rPr>
        <w:t>an</w:t>
      </w:r>
      <w:r>
        <w:rPr>
          <w:lang w:val="en-GB"/>
        </w:rPr>
        <w:t xml:space="preserve"> online </w:t>
      </w:r>
      <w:r w:rsidRPr="00002DCA">
        <w:rPr>
          <w:lang w:val="en-GB"/>
        </w:rPr>
        <w:t>shop</w:t>
      </w:r>
      <w:r w:rsidR="00704F07">
        <w:rPr>
          <w:lang w:val="en-GB"/>
        </w:rPr>
        <w:t xml:space="preserve">. The handbags </w:t>
      </w:r>
      <w:r>
        <w:rPr>
          <w:lang w:val="en-GB"/>
        </w:rPr>
        <w:t>infringe the registered design of Z</w:t>
      </w:r>
      <w:r w:rsidRPr="00002DCA">
        <w:rPr>
          <w:lang w:val="en-GB"/>
        </w:rPr>
        <w:t xml:space="preserve">. </w:t>
      </w:r>
      <w:r>
        <w:rPr>
          <w:lang w:val="en-GB"/>
        </w:rPr>
        <w:t>A designed the online advertis</w:t>
      </w:r>
      <w:r w:rsidR="006225C1">
        <w:rPr>
          <w:lang w:val="en-GB"/>
        </w:rPr>
        <w:t>ing</w:t>
      </w:r>
      <w:r>
        <w:rPr>
          <w:lang w:val="en-GB"/>
        </w:rPr>
        <w:t xml:space="preserve"> campaign for X’s shop and books online advertis</w:t>
      </w:r>
      <w:r w:rsidR="006225C1">
        <w:rPr>
          <w:lang w:val="en-GB"/>
        </w:rPr>
        <w:t>ing</w:t>
      </w:r>
      <w:r>
        <w:rPr>
          <w:lang w:val="en-GB"/>
        </w:rPr>
        <w:t xml:space="preserve"> resources for X on websites and in in search engines. A knows that X sells infringing goods.</w:t>
      </w:r>
    </w:p>
    <w:p w14:paraId="2705C9C4" w14:textId="756FD8C1" w:rsidR="001050DB" w:rsidRPr="00002DCA" w:rsidRDefault="00704F07" w:rsidP="00002DCA">
      <w:pPr>
        <w:pStyle w:val="QPara-a"/>
        <w:rPr>
          <w:lang w:val="en-GB"/>
        </w:rPr>
      </w:pPr>
      <w:r>
        <w:rPr>
          <w:lang w:val="en-GB"/>
        </w:rPr>
        <w:t>For each of</w:t>
      </w:r>
      <w:r w:rsidR="000A1E0B">
        <w:rPr>
          <w:lang w:val="en-GB"/>
        </w:rPr>
        <w:t xml:space="preserve"> </w:t>
      </w:r>
      <w:r w:rsidR="002D6884">
        <w:rPr>
          <w:lang w:val="en-GB"/>
        </w:rPr>
        <w:t>the hypotheticals in</w:t>
      </w:r>
      <w:r w:rsidR="000A1E0B">
        <w:rPr>
          <w:lang w:val="en-GB"/>
        </w:rPr>
        <w:t xml:space="preserve"> </w:t>
      </w:r>
      <w:r w:rsidR="00484807">
        <w:rPr>
          <w:lang w:val="en-GB"/>
        </w:rPr>
        <w:t>(</w:t>
      </w:r>
      <w:r w:rsidR="000A1E0B">
        <w:rPr>
          <w:lang w:val="en-GB"/>
        </w:rPr>
        <w:t>a</w:t>
      </w:r>
      <w:r w:rsidR="00473091">
        <w:rPr>
          <w:lang w:val="en-GB"/>
        </w:rPr>
        <w:t xml:space="preserve">) to </w:t>
      </w:r>
      <w:r w:rsidR="00484807">
        <w:rPr>
          <w:lang w:val="en-GB"/>
        </w:rPr>
        <w:t>(</w:t>
      </w:r>
      <w:r w:rsidR="000A1E0B">
        <w:rPr>
          <w:lang w:val="en-GB"/>
        </w:rPr>
        <w:t>c</w:t>
      </w:r>
      <w:r w:rsidR="00473091">
        <w:rPr>
          <w:lang w:val="en-GB"/>
        </w:rPr>
        <w:t>)</w:t>
      </w:r>
      <w:r w:rsidR="002D6884">
        <w:rPr>
          <w:lang w:val="en-GB"/>
        </w:rPr>
        <w:t xml:space="preserve"> above</w:t>
      </w:r>
      <w:r w:rsidR="000A1E0B">
        <w:rPr>
          <w:lang w:val="en-GB"/>
        </w:rPr>
        <w:t>, does it make a difference if A merely suspects that X sells infringing goods</w:t>
      </w:r>
      <w:r w:rsidR="00E23EC9">
        <w:rPr>
          <w:lang w:val="en-GB"/>
        </w:rPr>
        <w:t>?</w:t>
      </w:r>
      <w:r w:rsidR="00473091">
        <w:rPr>
          <w:lang w:val="en-GB"/>
        </w:rPr>
        <w:t xml:space="preserve"> If yes, what is the level of "suspicion" required, and how is it demonstrated?</w:t>
      </w:r>
    </w:p>
    <w:p w14:paraId="0D988DEB" w14:textId="3087BAD3" w:rsidR="002D6884" w:rsidRDefault="00E23EC9" w:rsidP="00E23EC9">
      <w:pPr>
        <w:pStyle w:val="QPara-1"/>
        <w:rPr>
          <w:lang w:val="en-GB"/>
        </w:rPr>
      </w:pPr>
      <w:bookmarkStart w:id="2" w:name="_Ref500677996"/>
      <w:r>
        <w:rPr>
          <w:lang w:val="en-GB"/>
        </w:rPr>
        <w:t xml:space="preserve">In the following hypothetical, would party A be liable for </w:t>
      </w:r>
      <w:r w:rsidR="00484807">
        <w:rPr>
          <w:lang w:val="en-GB"/>
        </w:rPr>
        <w:t>J</w:t>
      </w:r>
      <w:r>
        <w:rPr>
          <w:lang w:val="en-GB"/>
        </w:rPr>
        <w:t xml:space="preserve">oint </w:t>
      </w:r>
      <w:r w:rsidR="00484807">
        <w:rPr>
          <w:lang w:val="en-GB"/>
        </w:rPr>
        <w:t>I</w:t>
      </w:r>
      <w:r>
        <w:rPr>
          <w:lang w:val="en-GB"/>
        </w:rPr>
        <w:t>nfringement</w:t>
      </w:r>
      <w:r w:rsidR="00473091">
        <w:rPr>
          <w:lang w:val="en-GB"/>
        </w:rPr>
        <w:t xml:space="preserve"> with party X</w:t>
      </w:r>
      <w:r>
        <w:rPr>
          <w:lang w:val="en-GB"/>
        </w:rPr>
        <w:t xml:space="preserve">? </w:t>
      </w:r>
      <w:r w:rsidR="0021504C">
        <w:rPr>
          <w:lang w:val="en-GB"/>
        </w:rPr>
        <w:t>In your answer, p</w:t>
      </w:r>
      <w:r>
        <w:rPr>
          <w:lang w:val="en-GB"/>
        </w:rPr>
        <w:t>lease explain why or why not</w:t>
      </w:r>
      <w:r w:rsidR="0069046D">
        <w:rPr>
          <w:lang w:val="en-GB"/>
        </w:rPr>
        <w:t>?</w:t>
      </w:r>
      <w:r w:rsidR="002D6884">
        <w:rPr>
          <w:lang w:val="en-GB"/>
        </w:rPr>
        <w:t xml:space="preserve"> </w:t>
      </w:r>
    </w:p>
    <w:p w14:paraId="6CDDC766" w14:textId="77777777" w:rsidR="0069046D" w:rsidRDefault="0069046D" w:rsidP="0069046D">
      <w:pPr>
        <w:pStyle w:val="QPara-a"/>
        <w:numPr>
          <w:ilvl w:val="0"/>
          <w:numId w:val="0"/>
        </w:numPr>
        <w:ind w:left="1418"/>
        <w:rPr>
          <w:lang w:val="en-GB"/>
        </w:rPr>
      </w:pPr>
      <w:r>
        <w:rPr>
          <w:lang w:val="en-GB"/>
        </w:rPr>
        <w:t>Z owns a patent claiming a method</w:t>
      </w:r>
      <w:r w:rsidRPr="008622BC">
        <w:rPr>
          <w:lang w:val="en-GB"/>
        </w:rPr>
        <w:t xml:space="preserve"> for addressing memory space within </w:t>
      </w:r>
      <w:r>
        <w:rPr>
          <w:lang w:val="en-GB"/>
        </w:rPr>
        <w:t xml:space="preserve">a memory chip which </w:t>
      </w:r>
      <w:r w:rsidRPr="008622BC">
        <w:rPr>
          <w:lang w:val="en-GB"/>
        </w:rPr>
        <w:t>is built into telecommunication device having further features (main processor, suitable software</w:t>
      </w:r>
      <w:r>
        <w:rPr>
          <w:lang w:val="en-GB"/>
        </w:rPr>
        <w:t xml:space="preserve"> etc.</w:t>
      </w:r>
      <w:r w:rsidRPr="008622BC">
        <w:rPr>
          <w:lang w:val="en-GB"/>
        </w:rPr>
        <w:t xml:space="preserve">). </w:t>
      </w:r>
      <w:r>
        <w:rPr>
          <w:lang w:val="en-GB"/>
        </w:rPr>
        <w:t xml:space="preserve">A manufactures </w:t>
      </w:r>
      <w:r w:rsidRPr="008622BC">
        <w:rPr>
          <w:lang w:val="en-GB"/>
        </w:rPr>
        <w:t>memory chip</w:t>
      </w:r>
      <w:r>
        <w:rPr>
          <w:lang w:val="en-GB"/>
        </w:rPr>
        <w:t>s. The chips are objectively suitable to be used for the claimed method. A's memory chips</w:t>
      </w:r>
      <w:r w:rsidRPr="008622BC">
        <w:rPr>
          <w:lang w:val="en-GB"/>
        </w:rPr>
        <w:t xml:space="preserve"> are distributed over multiple distribution levels to a plethora of device manufacturers</w:t>
      </w:r>
      <w:r>
        <w:rPr>
          <w:lang w:val="en-GB"/>
        </w:rPr>
        <w:t>.</w:t>
      </w:r>
      <w:r w:rsidRPr="008622BC">
        <w:rPr>
          <w:lang w:val="en-GB"/>
        </w:rPr>
        <w:t xml:space="preserve"> </w:t>
      </w:r>
      <w:r>
        <w:rPr>
          <w:lang w:val="en-GB"/>
        </w:rPr>
        <w:t xml:space="preserve">A </w:t>
      </w:r>
      <w:r w:rsidRPr="008622BC">
        <w:rPr>
          <w:lang w:val="en-GB"/>
        </w:rPr>
        <w:t xml:space="preserve">has no knowledge of the </w:t>
      </w:r>
      <w:r>
        <w:rPr>
          <w:lang w:val="en-GB"/>
        </w:rPr>
        <w:t>actual</w:t>
      </w:r>
      <w:r w:rsidRPr="008622BC">
        <w:rPr>
          <w:lang w:val="en-GB"/>
        </w:rPr>
        <w:t xml:space="preserve"> end use of its </w:t>
      </w:r>
      <w:r>
        <w:rPr>
          <w:lang w:val="en-GB"/>
        </w:rPr>
        <w:t xml:space="preserve">memory chips. </w:t>
      </w:r>
    </w:p>
    <w:p w14:paraId="3E703C90" w14:textId="5C82A4C7" w:rsidR="00E23EC9" w:rsidRDefault="002D6884" w:rsidP="002D6884">
      <w:pPr>
        <w:pStyle w:val="QPara-1"/>
        <w:numPr>
          <w:ilvl w:val="0"/>
          <w:numId w:val="0"/>
        </w:numPr>
        <w:ind w:left="709"/>
        <w:rPr>
          <w:lang w:val="en-GB"/>
        </w:rPr>
      </w:pPr>
      <w:r>
        <w:rPr>
          <w:lang w:val="en-GB"/>
        </w:rPr>
        <w:t>Further</w:t>
      </w:r>
      <w:r w:rsidR="0021504C">
        <w:rPr>
          <w:lang w:val="en-GB"/>
        </w:rPr>
        <w:t xml:space="preserve">, </w:t>
      </w:r>
      <w:bookmarkEnd w:id="2"/>
      <w:r w:rsidR="000044D8" w:rsidRPr="000044D8">
        <w:rPr>
          <w:lang w:val="en-GB"/>
        </w:rPr>
        <w:t xml:space="preserve">under </w:t>
      </w:r>
      <w:r w:rsidR="000044D8">
        <w:rPr>
          <w:lang w:val="en-GB"/>
        </w:rPr>
        <w:t>your</w:t>
      </w:r>
      <w:r w:rsidR="000044D8" w:rsidRPr="000044D8">
        <w:rPr>
          <w:lang w:val="en-GB"/>
        </w:rPr>
        <w:t xml:space="preserve"> Group's law, would </w:t>
      </w:r>
      <w:r w:rsidR="00AB0815">
        <w:rPr>
          <w:lang w:val="en-GB"/>
        </w:rPr>
        <w:t xml:space="preserve">it </w:t>
      </w:r>
      <w:r w:rsidR="000044D8" w:rsidRPr="000044D8">
        <w:rPr>
          <w:lang w:val="en-GB"/>
        </w:rPr>
        <w:t xml:space="preserve">be considered obvious </w:t>
      </w:r>
      <w:r w:rsidR="009D32AD">
        <w:rPr>
          <w:lang w:val="en-GB"/>
        </w:rPr>
        <w:t xml:space="preserve">(in the sense of Q204P) </w:t>
      </w:r>
      <w:r w:rsidR="000044D8" w:rsidRPr="000044D8">
        <w:rPr>
          <w:lang w:val="en-GB"/>
        </w:rPr>
        <w:t>that A's chips would be put to one or more infringing uses and if so, why</w:t>
      </w:r>
      <w:r w:rsidR="0069046D">
        <w:rPr>
          <w:lang w:val="en-GB"/>
        </w:rPr>
        <w:t>?</w:t>
      </w:r>
    </w:p>
    <w:p w14:paraId="55F0C585" w14:textId="79B82B5B" w:rsidR="0090332A" w:rsidRDefault="0090332A" w:rsidP="0090332A">
      <w:pPr>
        <w:pStyle w:val="QPara-1"/>
        <w:rPr>
          <w:lang w:val="en-GB"/>
        </w:rPr>
      </w:pPr>
      <w:bookmarkStart w:id="3" w:name="_Ref500678277"/>
      <w:r>
        <w:rPr>
          <w:lang w:val="en-GB"/>
        </w:rPr>
        <w:t xml:space="preserve">In the following hypotheticals, would party A be liable for </w:t>
      </w:r>
      <w:r w:rsidR="00484807">
        <w:rPr>
          <w:lang w:val="en-GB"/>
        </w:rPr>
        <w:t>J</w:t>
      </w:r>
      <w:r>
        <w:rPr>
          <w:lang w:val="en-GB"/>
        </w:rPr>
        <w:t xml:space="preserve">oint </w:t>
      </w:r>
      <w:r w:rsidR="00484807">
        <w:rPr>
          <w:lang w:val="en-GB"/>
        </w:rPr>
        <w:t>I</w:t>
      </w:r>
      <w:r>
        <w:rPr>
          <w:lang w:val="en-GB"/>
        </w:rPr>
        <w:t>nfringement</w:t>
      </w:r>
      <w:r w:rsidR="0084252E">
        <w:rPr>
          <w:lang w:val="en-GB"/>
        </w:rPr>
        <w:t xml:space="preserve"> with party X</w:t>
      </w:r>
      <w:r>
        <w:rPr>
          <w:lang w:val="en-GB"/>
        </w:rPr>
        <w:t>? Please explain why or why not.</w:t>
      </w:r>
      <w:bookmarkEnd w:id="3"/>
      <w:r>
        <w:rPr>
          <w:lang w:val="en-GB"/>
        </w:rPr>
        <w:t xml:space="preserve"> </w:t>
      </w:r>
    </w:p>
    <w:p w14:paraId="7A434364" w14:textId="354B4CDA" w:rsidR="00233545" w:rsidRDefault="00233545" w:rsidP="0090332A">
      <w:pPr>
        <w:pStyle w:val="QPara-a"/>
        <w:rPr>
          <w:lang w:val="en-GB"/>
        </w:rPr>
      </w:pPr>
      <w:r>
        <w:rPr>
          <w:lang w:val="en-GB"/>
        </w:rPr>
        <w:t xml:space="preserve">Z </w:t>
      </w:r>
      <w:r w:rsidR="004E2D6F">
        <w:rPr>
          <w:lang w:val="en-GB"/>
        </w:rPr>
        <w:t>owns</w:t>
      </w:r>
      <w:r>
        <w:rPr>
          <w:lang w:val="en-GB"/>
        </w:rPr>
        <w:t xml:space="preserve"> a patent claiming a method </w:t>
      </w:r>
      <w:r w:rsidRPr="003765AE">
        <w:rPr>
          <w:lang w:val="en-GB"/>
        </w:rPr>
        <w:t xml:space="preserve">for </w:t>
      </w:r>
      <w:r w:rsidR="00FB2C07">
        <w:rPr>
          <w:lang w:val="en-GB"/>
        </w:rPr>
        <w:t>exchanging</w:t>
      </w:r>
      <w:r w:rsidRPr="003765AE">
        <w:rPr>
          <w:lang w:val="en-GB"/>
        </w:rPr>
        <w:t xml:space="preserve"> </w:t>
      </w:r>
      <w:r w:rsidR="00FB2C07">
        <w:rPr>
          <w:lang w:val="en-GB"/>
        </w:rPr>
        <w:t>(sending</w:t>
      </w:r>
      <w:r w:rsidR="00841661">
        <w:rPr>
          <w:lang w:val="en-GB"/>
        </w:rPr>
        <w:t xml:space="preserve"> </w:t>
      </w:r>
      <w:r w:rsidR="00FB2C07">
        <w:rPr>
          <w:lang w:val="en-GB"/>
        </w:rPr>
        <w:t>/</w:t>
      </w:r>
      <w:r w:rsidR="00841661">
        <w:rPr>
          <w:lang w:val="en-GB"/>
        </w:rPr>
        <w:t xml:space="preserve"> </w:t>
      </w:r>
      <w:r w:rsidR="00FB2C07">
        <w:rPr>
          <w:lang w:val="en-GB"/>
        </w:rPr>
        <w:t xml:space="preserve">receiving) </w:t>
      </w:r>
      <w:r w:rsidRPr="003765AE">
        <w:rPr>
          <w:lang w:val="en-GB"/>
        </w:rPr>
        <w:t xml:space="preserve">encrypted messages between </w:t>
      </w:r>
      <w:r>
        <w:rPr>
          <w:lang w:val="en-GB"/>
        </w:rPr>
        <w:t xml:space="preserve">server “a” and server “b”. A operates server “a” in your country, which </w:t>
      </w:r>
      <w:r w:rsidR="00FB2C07">
        <w:rPr>
          <w:lang w:val="en-GB"/>
        </w:rPr>
        <w:t>exchanges encrypted messages</w:t>
      </w:r>
      <w:r>
        <w:rPr>
          <w:lang w:val="en-GB"/>
        </w:rPr>
        <w:t xml:space="preserve"> with server “b” operated by X, also located </w:t>
      </w:r>
      <w:r w:rsidRPr="00FB2C07">
        <w:rPr>
          <w:u w:val="single"/>
          <w:lang w:val="en-GB"/>
        </w:rPr>
        <w:t>in your country</w:t>
      </w:r>
      <w:r>
        <w:rPr>
          <w:lang w:val="en-GB"/>
        </w:rPr>
        <w:t xml:space="preserve">. </w:t>
      </w:r>
      <w:r w:rsidR="00FB2C07">
        <w:rPr>
          <w:lang w:val="en-GB"/>
        </w:rPr>
        <w:t>A and B know that their servers exchange</w:t>
      </w:r>
      <w:r w:rsidR="00FB2C07" w:rsidRPr="003765AE">
        <w:rPr>
          <w:lang w:val="en-GB"/>
        </w:rPr>
        <w:t xml:space="preserve"> encrypted messages</w:t>
      </w:r>
      <w:r w:rsidR="00FB2C07">
        <w:rPr>
          <w:lang w:val="en-GB"/>
        </w:rPr>
        <w:t xml:space="preserve"> according to the patented method.</w:t>
      </w:r>
    </w:p>
    <w:p w14:paraId="5105E393" w14:textId="600EA240" w:rsidR="00FB2C07" w:rsidRDefault="00FB2C07" w:rsidP="00FB2C07">
      <w:pPr>
        <w:pStyle w:val="QPara-a"/>
        <w:rPr>
          <w:lang w:val="en-GB"/>
        </w:rPr>
      </w:pPr>
      <w:r>
        <w:rPr>
          <w:lang w:val="en-GB"/>
        </w:rPr>
        <w:t xml:space="preserve">Z </w:t>
      </w:r>
      <w:r w:rsidR="004E2D6F">
        <w:rPr>
          <w:lang w:val="en-GB"/>
        </w:rPr>
        <w:t>owns</w:t>
      </w:r>
      <w:r>
        <w:rPr>
          <w:lang w:val="en-GB"/>
        </w:rPr>
        <w:t xml:space="preserve"> a patent claiming a method </w:t>
      </w:r>
      <w:r w:rsidRPr="003765AE">
        <w:rPr>
          <w:lang w:val="en-GB"/>
        </w:rPr>
        <w:t xml:space="preserve">for </w:t>
      </w:r>
      <w:r>
        <w:rPr>
          <w:lang w:val="en-GB"/>
        </w:rPr>
        <w:t>exchanging</w:t>
      </w:r>
      <w:r w:rsidRPr="003765AE">
        <w:rPr>
          <w:lang w:val="en-GB"/>
        </w:rPr>
        <w:t xml:space="preserve"> </w:t>
      </w:r>
      <w:r>
        <w:rPr>
          <w:lang w:val="en-GB"/>
        </w:rPr>
        <w:t>(sending</w:t>
      </w:r>
      <w:r w:rsidR="00841661">
        <w:rPr>
          <w:lang w:val="en-GB"/>
        </w:rPr>
        <w:t xml:space="preserve"> </w:t>
      </w:r>
      <w:r>
        <w:rPr>
          <w:lang w:val="en-GB"/>
        </w:rPr>
        <w:t>/</w:t>
      </w:r>
      <w:r w:rsidR="00841661">
        <w:rPr>
          <w:lang w:val="en-GB"/>
        </w:rPr>
        <w:t xml:space="preserve"> </w:t>
      </w:r>
      <w:r>
        <w:rPr>
          <w:lang w:val="en-GB"/>
        </w:rPr>
        <w:t xml:space="preserve">receiving) </w:t>
      </w:r>
      <w:r w:rsidRPr="003765AE">
        <w:rPr>
          <w:lang w:val="en-GB"/>
        </w:rPr>
        <w:t xml:space="preserve">encrypted messages between </w:t>
      </w:r>
      <w:r>
        <w:rPr>
          <w:lang w:val="en-GB"/>
        </w:rPr>
        <w:t xml:space="preserve">server “a” and server “b”. A operates server “a” in your country, which exchanges encrypted messages with server “b” operated by X, located </w:t>
      </w:r>
      <w:r w:rsidR="004E2D6F">
        <w:rPr>
          <w:u w:val="single"/>
          <w:lang w:val="en-GB"/>
        </w:rPr>
        <w:t>outside your</w:t>
      </w:r>
      <w:r w:rsidRPr="00FB2C07">
        <w:rPr>
          <w:u w:val="single"/>
          <w:lang w:val="en-GB"/>
        </w:rPr>
        <w:t xml:space="preserve"> country</w:t>
      </w:r>
      <w:r>
        <w:rPr>
          <w:lang w:val="en-GB"/>
        </w:rPr>
        <w:t>. A and B know that their servers exchange</w:t>
      </w:r>
      <w:r w:rsidRPr="003765AE">
        <w:rPr>
          <w:lang w:val="en-GB"/>
        </w:rPr>
        <w:t xml:space="preserve"> encrypted messages</w:t>
      </w:r>
      <w:r>
        <w:rPr>
          <w:lang w:val="en-GB"/>
        </w:rPr>
        <w:t xml:space="preserve"> according to the patented method.</w:t>
      </w:r>
    </w:p>
    <w:p w14:paraId="33D9982C" w14:textId="5F95B1B2" w:rsidR="00FB2C07" w:rsidRDefault="00FB2C07" w:rsidP="00FB2C07">
      <w:pPr>
        <w:pStyle w:val="QPara-a"/>
        <w:rPr>
          <w:lang w:val="en-GB"/>
        </w:rPr>
      </w:pPr>
      <w:r>
        <w:rPr>
          <w:lang w:val="en-GB"/>
        </w:rPr>
        <w:t xml:space="preserve">Z </w:t>
      </w:r>
      <w:r w:rsidR="004E2D6F">
        <w:rPr>
          <w:lang w:val="en-GB"/>
        </w:rPr>
        <w:t>owns</w:t>
      </w:r>
      <w:r>
        <w:rPr>
          <w:lang w:val="en-GB"/>
        </w:rPr>
        <w:t xml:space="preserve"> a patent claiming a method </w:t>
      </w:r>
      <w:r w:rsidRPr="003765AE">
        <w:rPr>
          <w:lang w:val="en-GB"/>
        </w:rPr>
        <w:t xml:space="preserve">for </w:t>
      </w:r>
      <w:r>
        <w:rPr>
          <w:lang w:val="en-GB"/>
        </w:rPr>
        <w:t>exchanging</w:t>
      </w:r>
      <w:r w:rsidRPr="003765AE">
        <w:rPr>
          <w:lang w:val="en-GB"/>
        </w:rPr>
        <w:t xml:space="preserve"> </w:t>
      </w:r>
      <w:r>
        <w:rPr>
          <w:lang w:val="en-GB"/>
        </w:rPr>
        <w:t>(sending</w:t>
      </w:r>
      <w:r w:rsidR="00841661">
        <w:rPr>
          <w:lang w:val="en-GB"/>
        </w:rPr>
        <w:t xml:space="preserve"> </w:t>
      </w:r>
      <w:r>
        <w:rPr>
          <w:lang w:val="en-GB"/>
        </w:rPr>
        <w:t>/</w:t>
      </w:r>
      <w:r w:rsidR="00841661">
        <w:rPr>
          <w:lang w:val="en-GB"/>
        </w:rPr>
        <w:t xml:space="preserve"> </w:t>
      </w:r>
      <w:r>
        <w:rPr>
          <w:lang w:val="en-GB"/>
        </w:rPr>
        <w:t xml:space="preserve">receiving) </w:t>
      </w:r>
      <w:r w:rsidRPr="003765AE">
        <w:rPr>
          <w:lang w:val="en-GB"/>
        </w:rPr>
        <w:t xml:space="preserve">encrypted messages between </w:t>
      </w:r>
      <w:r>
        <w:rPr>
          <w:lang w:val="en-GB"/>
        </w:rPr>
        <w:t xml:space="preserve">server “a” and server “b”. </w:t>
      </w:r>
      <w:r w:rsidR="001D4983">
        <w:rPr>
          <w:lang w:val="en-GB"/>
        </w:rPr>
        <w:t>X</w:t>
      </w:r>
      <w:r>
        <w:rPr>
          <w:lang w:val="en-GB"/>
        </w:rPr>
        <w:t xml:space="preserve"> operates server “a” </w:t>
      </w:r>
      <w:r w:rsidR="004E2D6F">
        <w:rPr>
          <w:u w:val="single"/>
          <w:lang w:val="en-GB"/>
        </w:rPr>
        <w:t>outside your country</w:t>
      </w:r>
      <w:r>
        <w:rPr>
          <w:lang w:val="en-GB"/>
        </w:rPr>
        <w:t xml:space="preserve">, which exchanges encrypted messages with server “b” operated by </w:t>
      </w:r>
      <w:r w:rsidR="001D4983">
        <w:rPr>
          <w:lang w:val="en-GB"/>
        </w:rPr>
        <w:t>Z</w:t>
      </w:r>
      <w:r>
        <w:rPr>
          <w:lang w:val="en-GB"/>
        </w:rPr>
        <w:t xml:space="preserve">, located in </w:t>
      </w:r>
      <w:r w:rsidR="0084252E" w:rsidRPr="001E73FF">
        <w:rPr>
          <w:u w:val="single"/>
          <w:lang w:val="en-GB"/>
        </w:rPr>
        <w:t xml:space="preserve">another </w:t>
      </w:r>
      <w:r w:rsidRPr="001E73FF">
        <w:rPr>
          <w:u w:val="single"/>
          <w:lang w:val="en-GB"/>
        </w:rPr>
        <w:t>country</w:t>
      </w:r>
      <w:r w:rsidR="0084252E" w:rsidRPr="001E73FF">
        <w:rPr>
          <w:u w:val="single"/>
          <w:lang w:val="en-GB"/>
        </w:rPr>
        <w:t xml:space="preserve"> outside </w:t>
      </w:r>
      <w:r w:rsidR="001E73FF">
        <w:rPr>
          <w:u w:val="single"/>
          <w:lang w:val="en-GB"/>
        </w:rPr>
        <w:t>your</w:t>
      </w:r>
      <w:r w:rsidR="0084252E" w:rsidRPr="001E73FF">
        <w:rPr>
          <w:u w:val="single"/>
          <w:lang w:val="en-GB"/>
        </w:rPr>
        <w:t xml:space="preserve"> country</w:t>
      </w:r>
      <w:r>
        <w:rPr>
          <w:lang w:val="en-GB"/>
        </w:rPr>
        <w:t>. A</w:t>
      </w:r>
      <w:r w:rsidR="001D4983">
        <w:rPr>
          <w:lang w:val="en-GB"/>
        </w:rPr>
        <w:t xml:space="preserve">, located in </w:t>
      </w:r>
      <w:r w:rsidR="001D4983">
        <w:rPr>
          <w:lang w:val="en-GB"/>
        </w:rPr>
        <w:lastRenderedPageBreak/>
        <w:t xml:space="preserve">your country, is a software consultant advising X and Z how to use </w:t>
      </w:r>
      <w:r>
        <w:rPr>
          <w:lang w:val="en-GB"/>
        </w:rPr>
        <w:t>the patented method</w:t>
      </w:r>
      <w:r w:rsidR="001D4983">
        <w:rPr>
          <w:lang w:val="en-GB"/>
        </w:rPr>
        <w:t xml:space="preserve"> (but A does not supply any software)</w:t>
      </w:r>
      <w:r>
        <w:rPr>
          <w:lang w:val="en-GB"/>
        </w:rPr>
        <w:t>.</w:t>
      </w:r>
    </w:p>
    <w:p w14:paraId="24D181AE" w14:textId="4A111ADF" w:rsidR="00002E18" w:rsidRDefault="00002E18" w:rsidP="00002E18">
      <w:pPr>
        <w:pStyle w:val="QPara-1"/>
        <w:rPr>
          <w:lang w:val="en-GB"/>
        </w:rPr>
      </w:pPr>
      <w:r>
        <w:rPr>
          <w:lang w:val="en-GB"/>
        </w:rPr>
        <w:t>Are there any other scenarios which result in Joint Liability for IPR infringement under your Group's current law?</w:t>
      </w:r>
    </w:p>
    <w:p w14:paraId="720522B3" w14:textId="2C5D7C1B" w:rsidR="00002E18" w:rsidRDefault="00002E18" w:rsidP="00002E18">
      <w:pPr>
        <w:pStyle w:val="QPara-1"/>
        <w:rPr>
          <w:lang w:val="en-GB"/>
        </w:rPr>
      </w:pPr>
      <w:r>
        <w:rPr>
          <w:lang w:val="en-GB"/>
        </w:rPr>
        <w:t>What remedies are available against a party found liable for Joint Infringement? In particular:</w:t>
      </w:r>
    </w:p>
    <w:p w14:paraId="7CE65BD2" w14:textId="7223438B" w:rsidR="00002E18" w:rsidRDefault="00002E18" w:rsidP="00002E18">
      <w:pPr>
        <w:pStyle w:val="QPara-a"/>
        <w:rPr>
          <w:lang w:val="en-GB"/>
        </w:rPr>
      </w:pPr>
      <w:r>
        <w:rPr>
          <w:lang w:val="en-GB"/>
        </w:rPr>
        <w:t>Is an injunction available?</w:t>
      </w:r>
    </w:p>
    <w:p w14:paraId="2711D4F3" w14:textId="3D823443" w:rsidR="00002E18" w:rsidRDefault="00002E18" w:rsidP="00002E18">
      <w:pPr>
        <w:pStyle w:val="QPara-a"/>
        <w:rPr>
          <w:lang w:val="en-GB"/>
        </w:rPr>
      </w:pPr>
      <w:r>
        <w:rPr>
          <w:lang w:val="en-GB"/>
        </w:rPr>
        <w:t>Are damages or any other form of monetary compensation available</w:t>
      </w:r>
      <w:r w:rsidR="00484807">
        <w:rPr>
          <w:lang w:val="en-GB"/>
        </w:rPr>
        <w:t xml:space="preserve">; </w:t>
      </w:r>
      <w:r>
        <w:rPr>
          <w:lang w:val="en-GB"/>
        </w:rPr>
        <w:t xml:space="preserve">if </w:t>
      </w:r>
      <w:r w:rsidR="00484807">
        <w:rPr>
          <w:lang w:val="en-GB"/>
        </w:rPr>
        <w:t>YES</w:t>
      </w:r>
      <w:r>
        <w:rPr>
          <w:lang w:val="en-GB"/>
        </w:rPr>
        <w:t>, on what basis?</w:t>
      </w:r>
    </w:p>
    <w:p w14:paraId="3DD95993" w14:textId="1EF2458F" w:rsidR="00002E18" w:rsidRDefault="00002E18" w:rsidP="00002E18">
      <w:pPr>
        <w:pStyle w:val="QPara-a"/>
        <w:rPr>
          <w:lang w:val="en-GB"/>
        </w:rPr>
      </w:pPr>
      <w:r>
        <w:rPr>
          <w:lang w:val="en-GB"/>
        </w:rPr>
        <w:t xml:space="preserve">Are any of the available remedies different in scope to the remedies available against any acts of direct </w:t>
      </w:r>
      <w:r w:rsidR="00D5223F">
        <w:rPr>
          <w:lang w:val="en-GB"/>
        </w:rPr>
        <w:t xml:space="preserve">infringement </w:t>
      </w:r>
      <w:r>
        <w:rPr>
          <w:lang w:val="en-GB"/>
        </w:rPr>
        <w:t>or Contributory Infringement?</w:t>
      </w:r>
    </w:p>
    <w:p w14:paraId="23CECA7E" w14:textId="77777777" w:rsidR="00074188" w:rsidRDefault="00074188" w:rsidP="00CC7413">
      <w:pPr>
        <w:pStyle w:val="QHeadingI"/>
      </w:pPr>
      <w:r>
        <w:t xml:space="preserve">Policy considerations and proposals for improvements of your </w:t>
      </w:r>
      <w:r w:rsidR="00671192">
        <w:t xml:space="preserve">Group's </w:t>
      </w:r>
      <w:r>
        <w:t>current law</w:t>
      </w:r>
    </w:p>
    <w:p w14:paraId="4F3B142C" w14:textId="4A61F8E3" w:rsidR="00E172FE" w:rsidRPr="00E172FE" w:rsidRDefault="00E172FE" w:rsidP="00CC7413">
      <w:pPr>
        <w:pStyle w:val="QPara-1"/>
      </w:pPr>
      <w:r w:rsidRPr="00E172FE">
        <w:t xml:space="preserve">Are there aspects of </w:t>
      </w:r>
      <w:r w:rsidR="004A514F">
        <w:t>your Group's current</w:t>
      </w:r>
      <w:r w:rsidRPr="00E172FE">
        <w:t xml:space="preserve"> law that could be improved?</w:t>
      </w:r>
      <w:r w:rsidR="00F95637">
        <w:t xml:space="preserve"> </w:t>
      </w:r>
      <w:r w:rsidR="00C603D7">
        <w:t xml:space="preserve">If </w:t>
      </w:r>
      <w:r w:rsidR="00484807">
        <w:t>YES</w:t>
      </w:r>
      <w:r w:rsidR="00C603D7">
        <w:t>, please explain.</w:t>
      </w:r>
    </w:p>
    <w:p w14:paraId="2072AAAC" w14:textId="02FD33CA" w:rsidR="00C603D7" w:rsidRDefault="00C603D7" w:rsidP="00C603D7">
      <w:pPr>
        <w:pStyle w:val="QPara-1"/>
      </w:pPr>
      <w:r>
        <w:t xml:space="preserve">Should </w:t>
      </w:r>
      <w:r w:rsidR="00760F27">
        <w:t xml:space="preserve">acts outside the scope of direct </w:t>
      </w:r>
      <w:r w:rsidR="00484807">
        <w:t xml:space="preserve">infringement </w:t>
      </w:r>
      <w:r w:rsidR="00760F27">
        <w:t xml:space="preserve">or </w:t>
      </w:r>
      <w:r w:rsidR="00300ACC">
        <w:t>Contributory I</w:t>
      </w:r>
      <w:r w:rsidR="00300ACC" w:rsidRPr="00AF24CF">
        <w:t>nfringement</w:t>
      </w:r>
      <w:r w:rsidR="00760F27">
        <w:t xml:space="preserve"> </w:t>
      </w:r>
      <w:r w:rsidR="000044D8">
        <w:t xml:space="preserve">give rise to </w:t>
      </w:r>
      <w:r w:rsidR="0017652D">
        <w:rPr>
          <w:lang w:val="en-GB"/>
        </w:rPr>
        <w:t>Joint Liability</w:t>
      </w:r>
      <w:r w:rsidR="000044D8">
        <w:t xml:space="preserve"> for IPR infringement? If </w:t>
      </w:r>
      <w:r w:rsidR="00484807">
        <w:t>YES</w:t>
      </w:r>
      <w:r w:rsidR="000044D8">
        <w:t xml:space="preserve">, should that sound </w:t>
      </w:r>
      <w:r w:rsidR="00760F27">
        <w:t>in availability of injunctive relieve</w:t>
      </w:r>
      <w:r w:rsidR="00167B83">
        <w:t xml:space="preserve"> and/or damages</w:t>
      </w:r>
      <w:r>
        <w:t xml:space="preserve">? </w:t>
      </w:r>
      <w:r w:rsidR="001E73FF">
        <w:t xml:space="preserve">Please explain why or why not. </w:t>
      </w:r>
    </w:p>
    <w:p w14:paraId="14941A72" w14:textId="6EF44960" w:rsidR="00FD6122" w:rsidRDefault="00760F27" w:rsidP="004A514F">
      <w:pPr>
        <w:pStyle w:val="QPara-1"/>
      </w:pPr>
      <w:r>
        <w:t xml:space="preserve">Should </w:t>
      </w:r>
      <w:r w:rsidR="0017652D">
        <w:rPr>
          <w:lang w:val="en-GB"/>
        </w:rPr>
        <w:t>Joint Liability</w:t>
      </w:r>
      <w:r w:rsidR="00FD6122">
        <w:t xml:space="preserve"> be excluded if </w:t>
      </w:r>
      <w:r w:rsidR="000044D8">
        <w:t xml:space="preserve">one or more </w:t>
      </w:r>
      <w:r w:rsidR="00FD6122">
        <w:t xml:space="preserve">acts being necessary for establishing </w:t>
      </w:r>
      <w:r w:rsidR="0017652D">
        <w:rPr>
          <w:lang w:val="en-GB"/>
        </w:rPr>
        <w:t>Joint Liability</w:t>
      </w:r>
      <w:r w:rsidR="00FD6122">
        <w:t xml:space="preserve"> </w:t>
      </w:r>
      <w:r w:rsidR="000044D8">
        <w:t xml:space="preserve">for IPR infringement </w:t>
      </w:r>
      <w:r w:rsidR="00FD6122">
        <w:t>are committed outside the domestic jurisdiction?</w:t>
      </w:r>
      <w:r w:rsidR="002B7AAD">
        <w:t xml:space="preserve"> Please explain why or why not.</w:t>
      </w:r>
      <w:r w:rsidR="001E73FF">
        <w:t xml:space="preserve"> </w:t>
      </w:r>
    </w:p>
    <w:p w14:paraId="46B890CB" w14:textId="40704F74" w:rsidR="00484807" w:rsidRDefault="005139DB" w:rsidP="004A514F">
      <w:pPr>
        <w:pStyle w:val="QPara-1"/>
      </w:pPr>
      <w:r>
        <w:t>Are there any other policy considerations and/or proposals for improvement to your Group's current law falling within the scope of this Study Question?</w:t>
      </w:r>
    </w:p>
    <w:p w14:paraId="5B02E91D" w14:textId="77777777" w:rsidR="00074188" w:rsidRDefault="00074188" w:rsidP="00CC7413">
      <w:pPr>
        <w:pStyle w:val="QHeadingI"/>
      </w:pPr>
      <w:r>
        <w:t>Proposals for harmonisation</w:t>
      </w:r>
    </w:p>
    <w:p w14:paraId="1CA8E8DF" w14:textId="77777777" w:rsidR="00584D2A" w:rsidRPr="00584D2A" w:rsidRDefault="00584D2A" w:rsidP="00584D2A">
      <w:pPr>
        <w:rPr>
          <w:i/>
        </w:rPr>
      </w:pPr>
      <w:r w:rsidRPr="00584D2A">
        <w:rPr>
          <w:i/>
        </w:rPr>
        <w:t>Please consult with relevant in-house / industry members of your Group in responding to Part III.</w:t>
      </w:r>
    </w:p>
    <w:p w14:paraId="158DC6FC" w14:textId="6EF05C57" w:rsidR="000044D8" w:rsidRPr="0069046D" w:rsidRDefault="000044D8" w:rsidP="00CC7413">
      <w:pPr>
        <w:pStyle w:val="QPara-1"/>
        <w:rPr>
          <w:lang w:val="en-GB"/>
        </w:rPr>
      </w:pPr>
      <w:r w:rsidRPr="0069046D">
        <w:rPr>
          <w:lang w:val="en-GB"/>
        </w:rPr>
        <w:t xml:space="preserve">Is a </w:t>
      </w:r>
      <w:r w:rsidR="0069046D" w:rsidRPr="0069046D">
        <w:rPr>
          <w:lang w:val="en-GB"/>
        </w:rPr>
        <w:t xml:space="preserve">consolidated </w:t>
      </w:r>
      <w:r w:rsidRPr="0069046D">
        <w:rPr>
          <w:lang w:val="en-GB"/>
        </w:rPr>
        <w:t xml:space="preserve">doctrine of </w:t>
      </w:r>
      <w:r w:rsidR="0017652D" w:rsidRPr="0069046D">
        <w:rPr>
          <w:lang w:val="en-GB"/>
        </w:rPr>
        <w:t>Joint Liability</w:t>
      </w:r>
      <w:r w:rsidRPr="0069046D">
        <w:rPr>
          <w:lang w:val="en-GB"/>
        </w:rPr>
        <w:t xml:space="preserve"> for IPR infringement desirable?</w:t>
      </w:r>
    </w:p>
    <w:p w14:paraId="19B5F20D" w14:textId="5C383F48" w:rsidR="00C15D75" w:rsidRDefault="00C15D75" w:rsidP="00CC7413">
      <w:pPr>
        <w:pStyle w:val="QPara-1"/>
        <w:rPr>
          <w:lang w:val="en-GB"/>
        </w:rPr>
      </w:pPr>
      <w:r>
        <w:rPr>
          <w:lang w:val="en-GB"/>
        </w:rPr>
        <w:t xml:space="preserve">Is harmonisation of </w:t>
      </w:r>
      <w:r w:rsidR="00E07697">
        <w:rPr>
          <w:lang w:val="en-GB"/>
        </w:rPr>
        <w:t>the law</w:t>
      </w:r>
      <w:r w:rsidR="00E221D6">
        <w:rPr>
          <w:lang w:val="en-GB"/>
        </w:rPr>
        <w:t>s</w:t>
      </w:r>
      <w:r w:rsidR="00E07697">
        <w:rPr>
          <w:lang w:val="en-GB"/>
        </w:rPr>
        <w:t xml:space="preserve"> of </w:t>
      </w:r>
      <w:r w:rsidR="0017652D">
        <w:rPr>
          <w:lang w:val="en-GB"/>
        </w:rPr>
        <w:t>Joint Liability</w:t>
      </w:r>
      <w:r w:rsidR="00D12564">
        <w:rPr>
          <w:lang w:val="en-GB"/>
        </w:rPr>
        <w:t xml:space="preserve"> </w:t>
      </w:r>
      <w:r w:rsidR="000044D8">
        <w:rPr>
          <w:lang w:val="en-GB"/>
        </w:rPr>
        <w:t xml:space="preserve">for IPR infringement </w:t>
      </w:r>
      <w:r>
        <w:rPr>
          <w:lang w:val="en-GB"/>
        </w:rPr>
        <w:t>desirable?</w:t>
      </w:r>
    </w:p>
    <w:p w14:paraId="7413A181" w14:textId="2D609FF2" w:rsidR="00C15D75" w:rsidRDefault="00C15D75" w:rsidP="00C15D75">
      <w:pPr>
        <w:pStyle w:val="Italicsindent"/>
        <w:rPr>
          <w:lang w:val="de-DE"/>
        </w:rPr>
      </w:pPr>
      <w:r>
        <w:rPr>
          <w:lang w:val="de-DE"/>
        </w:rPr>
        <w:t xml:space="preserve">If </w:t>
      </w:r>
      <w:r w:rsidR="005139DB">
        <w:rPr>
          <w:lang w:val="de-DE"/>
        </w:rPr>
        <w:t>YES</w:t>
      </w:r>
      <w:r>
        <w:rPr>
          <w:lang w:val="de-DE"/>
        </w:rPr>
        <w:t>, please respond to the following questions without regard to your Group's current law.</w:t>
      </w:r>
    </w:p>
    <w:p w14:paraId="3027C854" w14:textId="2F92E476" w:rsidR="00C15D75" w:rsidRDefault="00C15D75" w:rsidP="00C15D75">
      <w:pPr>
        <w:pStyle w:val="Italicsindent"/>
        <w:rPr>
          <w:lang w:val="de-DE"/>
        </w:rPr>
      </w:pPr>
      <w:r>
        <w:rPr>
          <w:lang w:val="de-DE"/>
        </w:rPr>
        <w:t xml:space="preserve">Even if </w:t>
      </w:r>
      <w:r w:rsidR="005139DB">
        <w:rPr>
          <w:lang w:val="de-DE"/>
        </w:rPr>
        <w:t>NO</w:t>
      </w:r>
      <w:r>
        <w:rPr>
          <w:lang w:val="de-DE"/>
        </w:rPr>
        <w:t xml:space="preserve">, please address the following questions to the extent your Group considers your Group's </w:t>
      </w:r>
      <w:r w:rsidR="00671192">
        <w:rPr>
          <w:lang w:val="de-DE"/>
        </w:rPr>
        <w:t xml:space="preserve">current </w:t>
      </w:r>
      <w:r>
        <w:rPr>
          <w:lang w:val="de-DE"/>
        </w:rPr>
        <w:t>law could be improved.</w:t>
      </w:r>
    </w:p>
    <w:p w14:paraId="4ABCC949" w14:textId="062D17BF" w:rsidR="00CC0994" w:rsidRDefault="00C15D75" w:rsidP="00CC7413">
      <w:pPr>
        <w:pStyle w:val="QPara-1"/>
        <w:rPr>
          <w:lang w:val="en-GB"/>
        </w:rPr>
      </w:pPr>
      <w:r w:rsidRPr="001B01A4">
        <w:rPr>
          <w:lang w:val="en-GB"/>
        </w:rPr>
        <w:t xml:space="preserve">Please propose </w:t>
      </w:r>
      <w:r w:rsidR="00CC0994">
        <w:rPr>
          <w:lang w:val="en-GB"/>
        </w:rPr>
        <w:t>a suitable framewor</w:t>
      </w:r>
      <w:r w:rsidR="000B68BE">
        <w:rPr>
          <w:lang w:val="en-GB"/>
        </w:rPr>
        <w:t xml:space="preserve">k for </w:t>
      </w:r>
      <w:r w:rsidR="0017652D">
        <w:rPr>
          <w:lang w:val="en-GB"/>
        </w:rPr>
        <w:t>Joint Liability</w:t>
      </w:r>
      <w:r w:rsidR="000044D8">
        <w:rPr>
          <w:lang w:val="en-GB"/>
        </w:rPr>
        <w:t xml:space="preserve"> for IPR infringement</w:t>
      </w:r>
      <w:r w:rsidR="00D12564">
        <w:rPr>
          <w:lang w:val="en-GB"/>
        </w:rPr>
        <w:t xml:space="preserve">, focussing on the </w:t>
      </w:r>
      <w:r w:rsidR="000044D8">
        <w:rPr>
          <w:lang w:val="en-GB"/>
        </w:rPr>
        <w:t>hypotheticals</w:t>
      </w:r>
      <w:r w:rsidR="001E73FF">
        <w:rPr>
          <w:lang w:val="en-GB"/>
        </w:rPr>
        <w:t xml:space="preserve"> set out </w:t>
      </w:r>
      <w:r w:rsidR="002749AD">
        <w:rPr>
          <w:lang w:val="en-GB"/>
        </w:rPr>
        <w:t>in</w:t>
      </w:r>
      <w:r w:rsidR="001E73FF">
        <w:rPr>
          <w:lang w:val="en-GB"/>
        </w:rPr>
        <w:t xml:space="preserve"> </w:t>
      </w:r>
      <w:r w:rsidR="005139DB">
        <w:rPr>
          <w:lang w:val="en-GB"/>
        </w:rPr>
        <w:t>Questions 3 to 5</w:t>
      </w:r>
      <w:r w:rsidR="001E73FF">
        <w:rPr>
          <w:lang w:val="en-GB"/>
        </w:rPr>
        <w:t xml:space="preserve"> above</w:t>
      </w:r>
      <w:r w:rsidR="00D12564">
        <w:rPr>
          <w:lang w:val="en-GB"/>
        </w:rPr>
        <w:t>:</w:t>
      </w:r>
    </w:p>
    <w:p w14:paraId="26B416B7" w14:textId="03206364" w:rsidR="00DB3DB3" w:rsidRDefault="00DB3DB3" w:rsidP="00DB3DB3">
      <w:pPr>
        <w:pStyle w:val="QPara-a"/>
        <w:rPr>
          <w:lang w:val="en-GB"/>
        </w:rPr>
      </w:pPr>
      <w:r>
        <w:rPr>
          <w:lang w:val="en-GB"/>
        </w:rPr>
        <w:lastRenderedPageBreak/>
        <w:t xml:space="preserve">The acts in question are limited to activities </w:t>
      </w:r>
      <w:r w:rsidR="001E73FF">
        <w:rPr>
          <w:lang w:val="en-GB"/>
        </w:rPr>
        <w:t>such as</w:t>
      </w:r>
      <w:r>
        <w:rPr>
          <w:lang w:val="en-GB"/>
        </w:rPr>
        <w:t xml:space="preserve"> renting retail space, hosting websites, advertising etc. </w:t>
      </w:r>
      <w:r w:rsidR="001E73FF">
        <w:rPr>
          <w:lang w:val="en-GB"/>
        </w:rPr>
        <w:t>(</w:t>
      </w:r>
      <w:r>
        <w:rPr>
          <w:lang w:val="en-GB"/>
        </w:rPr>
        <w:t xml:space="preserve">as further described in </w:t>
      </w:r>
      <w:r w:rsidR="00841661">
        <w:rPr>
          <w:lang w:val="en-GB"/>
        </w:rPr>
        <w:t>Q</w:t>
      </w:r>
      <w:r>
        <w:rPr>
          <w:lang w:val="en-GB"/>
        </w:rPr>
        <w:t xml:space="preserve">uestion </w:t>
      </w:r>
      <w:r w:rsidR="001E73FF">
        <w:rPr>
          <w:lang w:val="en-GB"/>
        </w:rPr>
        <w:t xml:space="preserve">3 </w:t>
      </w:r>
      <w:r w:rsidR="00841661">
        <w:rPr>
          <w:lang w:val="en-GB"/>
        </w:rPr>
        <w:t>(</w:t>
      </w:r>
      <w:r w:rsidR="001E73FF">
        <w:rPr>
          <w:lang w:val="en-GB"/>
        </w:rPr>
        <w:t xml:space="preserve">a) to </w:t>
      </w:r>
      <w:r w:rsidR="00841661">
        <w:rPr>
          <w:lang w:val="en-GB"/>
        </w:rPr>
        <w:t>(</w:t>
      </w:r>
      <w:r w:rsidR="001E73FF">
        <w:rPr>
          <w:lang w:val="en-GB"/>
        </w:rPr>
        <w:t>d)</w:t>
      </w:r>
      <w:r w:rsidR="0090616A">
        <w:rPr>
          <w:lang w:val="en-GB"/>
        </w:rPr>
        <w:t xml:space="preserve"> above</w:t>
      </w:r>
      <w:r w:rsidR="005139DB">
        <w:rPr>
          <w:lang w:val="en-GB"/>
        </w:rPr>
        <w:t>)</w:t>
      </w:r>
    </w:p>
    <w:p w14:paraId="6E00595E" w14:textId="0C91AB01" w:rsidR="0090616A" w:rsidRPr="0090616A" w:rsidRDefault="0090616A" w:rsidP="0090616A">
      <w:pPr>
        <w:pStyle w:val="QPara-a"/>
        <w:rPr>
          <w:lang w:val="en-GB"/>
        </w:rPr>
      </w:pPr>
      <w:r>
        <w:rPr>
          <w:lang w:val="en-US"/>
        </w:rPr>
        <w:t>T</w:t>
      </w:r>
      <w:r w:rsidRPr="003765AE">
        <w:rPr>
          <w:lang w:val="en-US"/>
        </w:rPr>
        <w:t xml:space="preserve">he means supplied or offered by the contributory infringer </w:t>
      </w:r>
      <w:r w:rsidRPr="0090616A">
        <w:rPr>
          <w:lang w:val="en-US"/>
        </w:rPr>
        <w:t>related to a substantial element of the subject matter of the protected IPR</w:t>
      </w:r>
      <w:r>
        <w:rPr>
          <w:lang w:val="en-US"/>
        </w:rPr>
        <w:t xml:space="preserve">, but </w:t>
      </w:r>
      <w:r w:rsidRPr="0090616A">
        <w:rPr>
          <w:lang w:val="en-US"/>
        </w:rPr>
        <w:t xml:space="preserve">at the time of offering or supply, the suitability and intended use were </w:t>
      </w:r>
      <w:r>
        <w:rPr>
          <w:lang w:val="en-US"/>
        </w:rPr>
        <w:t xml:space="preserve">not </w:t>
      </w:r>
      <w:r w:rsidRPr="0090616A">
        <w:rPr>
          <w:lang w:val="en-US"/>
        </w:rPr>
        <w:t>known to the supplier or obvious under the circumstances</w:t>
      </w:r>
      <w:r>
        <w:rPr>
          <w:lang w:val="en-US"/>
        </w:rPr>
        <w:t xml:space="preserve"> </w:t>
      </w:r>
      <w:r w:rsidR="001E73FF">
        <w:rPr>
          <w:lang w:val="en-US"/>
        </w:rPr>
        <w:t>(</w:t>
      </w:r>
      <w:r>
        <w:rPr>
          <w:lang w:val="en-US"/>
        </w:rPr>
        <w:t xml:space="preserve">as further described in </w:t>
      </w:r>
      <w:r w:rsidR="00841661">
        <w:rPr>
          <w:lang w:val="en-US"/>
        </w:rPr>
        <w:t>Q</w:t>
      </w:r>
      <w:r>
        <w:rPr>
          <w:lang w:val="en-US"/>
        </w:rPr>
        <w:t>uestion</w:t>
      </w:r>
      <w:r w:rsidR="00841661">
        <w:rPr>
          <w:lang w:val="en-US"/>
        </w:rPr>
        <w:t> 4</w:t>
      </w:r>
      <w:r>
        <w:rPr>
          <w:lang w:val="en-US"/>
        </w:rPr>
        <w:t xml:space="preserve"> above</w:t>
      </w:r>
      <w:r w:rsidR="001E73FF">
        <w:rPr>
          <w:lang w:val="en-US"/>
        </w:rPr>
        <w:t>)</w:t>
      </w:r>
    </w:p>
    <w:p w14:paraId="07CA6DB8" w14:textId="31F096CA" w:rsidR="0090616A" w:rsidRDefault="00E70993" w:rsidP="0090616A">
      <w:pPr>
        <w:pStyle w:val="QPara-a"/>
        <w:rPr>
          <w:lang w:val="en-GB"/>
        </w:rPr>
      </w:pPr>
      <w:r>
        <w:rPr>
          <w:lang w:val="en-GB"/>
        </w:rPr>
        <w:t>The infringing acts are divided between two parties, and the acts of each party do not qualify as direct</w:t>
      </w:r>
      <w:r w:rsidR="005139DB">
        <w:rPr>
          <w:lang w:val="en-GB"/>
        </w:rPr>
        <w:t xml:space="preserve"> infringement or</w:t>
      </w:r>
      <w:r w:rsidR="00841661">
        <w:rPr>
          <w:lang w:val="en-GB"/>
        </w:rPr>
        <w:t xml:space="preserve"> </w:t>
      </w:r>
      <w:r w:rsidR="00300ACC">
        <w:t>Contributory I</w:t>
      </w:r>
      <w:r w:rsidR="00300ACC" w:rsidRPr="00AF24CF">
        <w:t>nfringement</w:t>
      </w:r>
      <w:r>
        <w:rPr>
          <w:lang w:val="en-GB"/>
        </w:rPr>
        <w:t xml:space="preserve">, as further described in </w:t>
      </w:r>
      <w:r w:rsidR="00841661">
        <w:rPr>
          <w:lang w:val="en-GB"/>
        </w:rPr>
        <w:t>Q</w:t>
      </w:r>
      <w:r>
        <w:rPr>
          <w:lang w:val="en-GB"/>
        </w:rPr>
        <w:t>uestion</w:t>
      </w:r>
      <w:r w:rsidR="00E221D6">
        <w:rPr>
          <w:lang w:val="en-GB"/>
        </w:rPr>
        <w:t xml:space="preserve"> 5</w:t>
      </w:r>
      <w:r>
        <w:rPr>
          <w:lang w:val="en-GB"/>
        </w:rPr>
        <w:t xml:space="preserve"> </w:t>
      </w:r>
      <w:r w:rsidR="00841661">
        <w:rPr>
          <w:lang w:val="en-GB"/>
        </w:rPr>
        <w:t>(</w:t>
      </w:r>
      <w:r>
        <w:rPr>
          <w:lang w:val="en-GB"/>
        </w:rPr>
        <w:t>a</w:t>
      </w:r>
      <w:r w:rsidR="00E221D6">
        <w:rPr>
          <w:lang w:val="en-GB"/>
        </w:rPr>
        <w:t xml:space="preserve">) to </w:t>
      </w:r>
      <w:r w:rsidR="00841661">
        <w:rPr>
          <w:lang w:val="en-GB"/>
        </w:rPr>
        <w:t>(</w:t>
      </w:r>
      <w:r>
        <w:rPr>
          <w:lang w:val="en-GB"/>
        </w:rPr>
        <w:t>c) above.</w:t>
      </w:r>
    </w:p>
    <w:p w14:paraId="30661BE2" w14:textId="2BE36526" w:rsidR="00D12564" w:rsidRDefault="001E73FF" w:rsidP="00976301">
      <w:pPr>
        <w:pStyle w:val="QPara-1"/>
        <w:rPr>
          <w:lang w:val="en-GB"/>
        </w:rPr>
      </w:pPr>
      <w:r>
        <w:rPr>
          <w:lang w:val="en-GB"/>
        </w:rPr>
        <w:t>Are</w:t>
      </w:r>
      <w:r w:rsidR="00D12564">
        <w:rPr>
          <w:lang w:val="en-GB"/>
        </w:rPr>
        <w:t xml:space="preserve"> there any other scenario</w:t>
      </w:r>
      <w:r>
        <w:rPr>
          <w:lang w:val="en-GB"/>
        </w:rPr>
        <w:t>s</w:t>
      </w:r>
      <w:r w:rsidR="00D12564">
        <w:rPr>
          <w:lang w:val="en-GB"/>
        </w:rPr>
        <w:t xml:space="preserve"> which should result in </w:t>
      </w:r>
      <w:r w:rsidR="0017652D">
        <w:rPr>
          <w:lang w:val="en-GB"/>
        </w:rPr>
        <w:t>Joint Liability</w:t>
      </w:r>
      <w:r>
        <w:rPr>
          <w:lang w:val="en-GB"/>
        </w:rPr>
        <w:t xml:space="preserve"> for IPR infringement</w:t>
      </w:r>
      <w:r w:rsidR="00D12564">
        <w:rPr>
          <w:lang w:val="en-GB"/>
        </w:rPr>
        <w:t>, and where harmonisation is desirable?</w:t>
      </w:r>
      <w:r>
        <w:rPr>
          <w:lang w:val="en-GB"/>
        </w:rPr>
        <w:t xml:space="preserve"> If </w:t>
      </w:r>
      <w:r w:rsidR="005139DB">
        <w:rPr>
          <w:lang w:val="en-GB"/>
        </w:rPr>
        <w:t>YES</w:t>
      </w:r>
      <w:r>
        <w:rPr>
          <w:lang w:val="en-GB"/>
        </w:rPr>
        <w:t>, please explain.</w:t>
      </w:r>
    </w:p>
    <w:p w14:paraId="0458C5E3" w14:textId="0395BD9E" w:rsidR="00002E18" w:rsidRDefault="00002E18" w:rsidP="00CC7413">
      <w:pPr>
        <w:pStyle w:val="QPara-1"/>
        <w:rPr>
          <w:lang w:val="en-GB"/>
        </w:rPr>
      </w:pPr>
      <w:r>
        <w:rPr>
          <w:lang w:val="en-GB"/>
        </w:rPr>
        <w:t>What remedies should be available against a party found liable for Joint Infringement? In particular:</w:t>
      </w:r>
    </w:p>
    <w:p w14:paraId="6669CACB" w14:textId="58EECE1A" w:rsidR="00002E18" w:rsidRDefault="00002E18" w:rsidP="00002E18">
      <w:pPr>
        <w:pStyle w:val="QPara-a"/>
        <w:rPr>
          <w:lang w:val="en-GB"/>
        </w:rPr>
      </w:pPr>
      <w:r>
        <w:rPr>
          <w:lang w:val="en-GB"/>
        </w:rPr>
        <w:t>Should an injunction be available?</w:t>
      </w:r>
    </w:p>
    <w:p w14:paraId="105CF34F" w14:textId="4D77CE09" w:rsidR="00002E18" w:rsidRDefault="00DE110B" w:rsidP="00002E18">
      <w:pPr>
        <w:pStyle w:val="QPara-a"/>
        <w:rPr>
          <w:lang w:val="en-GB"/>
        </w:rPr>
      </w:pPr>
      <w:r>
        <w:rPr>
          <w:lang w:val="en-GB"/>
        </w:rPr>
        <w:t>Should damages or any other form of monetary compensation be available</w:t>
      </w:r>
      <w:r w:rsidR="005139DB">
        <w:rPr>
          <w:lang w:val="en-GB"/>
        </w:rPr>
        <w:t>; if YES</w:t>
      </w:r>
      <w:r>
        <w:rPr>
          <w:lang w:val="en-GB"/>
        </w:rPr>
        <w:t>, on what basis?</w:t>
      </w:r>
    </w:p>
    <w:p w14:paraId="252D76A1" w14:textId="4F634562" w:rsidR="00DE110B" w:rsidRDefault="00DE110B" w:rsidP="00002E18">
      <w:pPr>
        <w:pStyle w:val="QPara-a"/>
        <w:rPr>
          <w:lang w:val="en-GB"/>
        </w:rPr>
      </w:pPr>
      <w:r>
        <w:rPr>
          <w:lang w:val="en-GB"/>
        </w:rPr>
        <w:t xml:space="preserve">Should any available remedies be different in scope to the remedies available against any acts of direct </w:t>
      </w:r>
      <w:r w:rsidR="00D5223F">
        <w:rPr>
          <w:lang w:val="en-GB"/>
        </w:rPr>
        <w:t xml:space="preserve">infringement </w:t>
      </w:r>
      <w:r>
        <w:rPr>
          <w:lang w:val="en-GB"/>
        </w:rPr>
        <w:t>or Contributory Infringement?</w:t>
      </w:r>
    </w:p>
    <w:p w14:paraId="601E070E" w14:textId="4A692FE4" w:rsidR="00DE110B" w:rsidRDefault="00DE110B" w:rsidP="00DE110B">
      <w:pPr>
        <w:pStyle w:val="QPara-1"/>
        <w:rPr>
          <w:lang w:val="en-GB"/>
        </w:rPr>
      </w:pPr>
      <w:r>
        <w:rPr>
          <w:lang w:val="en-GB"/>
        </w:rPr>
        <w:t xml:space="preserve">Please comment on any additional issues concerning any aspect of Joint Liability you consider relevant to this Study Question, having regard to the scope of this Study Question as set out in paragraphs 7 to 13 above. </w:t>
      </w:r>
    </w:p>
    <w:p w14:paraId="3C370ABD" w14:textId="26A3D7CB" w:rsidR="002D2197" w:rsidRDefault="002D2197" w:rsidP="00DE110B">
      <w:pPr>
        <w:pStyle w:val="QPara-1"/>
        <w:rPr>
          <w:lang w:val="en-GB"/>
        </w:rPr>
      </w:pPr>
      <w:r>
        <w:rPr>
          <w:lang w:val="en-GB"/>
        </w:rPr>
        <w:t>Please indicate which industry sector views are included in your Group's answers to Part III.</w:t>
      </w:r>
    </w:p>
    <w:p w14:paraId="6D262B53" w14:textId="77777777" w:rsidR="003A5FA5" w:rsidRDefault="003A5FA5" w:rsidP="003A5FA5"/>
    <w:p w14:paraId="240ED846" w14:textId="77777777" w:rsidR="003A5FA5" w:rsidRDefault="003A5FA5" w:rsidP="003A5FA5"/>
    <w:p w14:paraId="6EFF3161" w14:textId="3FEE533F" w:rsidR="003A5FA5" w:rsidRDefault="003A5FA5" w:rsidP="003A5FA5"/>
    <w:p w14:paraId="582A02B3" w14:textId="77777777" w:rsidR="003A5FA5" w:rsidRPr="003A5FA5" w:rsidRDefault="003A5FA5" w:rsidP="003A5FA5"/>
    <w:sectPr w:rsidR="003A5FA5" w:rsidRPr="003A5FA5" w:rsidSect="00A6024A">
      <w:footerReference w:type="default" r:id="rId9"/>
      <w:headerReference w:type="first" r:id="rId10"/>
      <w:footerReference w:type="first" r:id="rId11"/>
      <w:pgSz w:w="11906" w:h="16838" w:code="9"/>
      <w:pgMar w:top="1701" w:right="1418" w:bottom="1134" w:left="1418" w:header="85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BAEkAUABQAEkAIABIAGUAYQBkAGkAbgBnACAAQgBvAGwAZAA=" wne:acdName="acd0" wne:fciIndexBasedOn="0065"/>
    <wne:acd wne:argValue="AgBBAEkAUABQAEkAIABIAGUAYQBkAGkAbgBnACAAVQBuAGQAZQByAGwAaQBuAGUAZAA=" wne:acdName="acd1" wne:fciIndexBasedOn="0065"/>
    <wne:acd wne:argValue="AgBBAEkAUABQAEkAIABQAGEAcgBhACAALQAgADEAKQA=" wne:acdName="acd2" wne:fciIndexBasedOn="0065"/>
    <wne:acd wne:argValue="AgBBAEkAUABQAEkAIABQAGEAcgBhACAALQAgAGEAKQA=" wne:acdName="acd3" wne:fciIndexBasedOn="0065"/>
    <wne:acd wne:argValue="AgBBAEkAUABQAEkAIABQAGEAcgBhACAALQAgAGkAKQA=" wne:acdName="acd4" wne:fciIndexBasedOn="0065"/>
    <wne:acd wne:argValue="AgBBAEkAUABQAEkAIABRACAASABlAGEAZABpAG4AZwAgADEA" wne:acdName="acd5" wne:fciIndexBasedOn="0065"/>
    <wne:acd wne:argValue="AgBBAEkAUABQAEkAIABRACAAUABhAHIAYQAgAC0AIAAxACkA" wne:acdName="acd6" wne:fciIndexBasedOn="0065"/>
    <wne:acd wne:argValue="AgBBAEkAUABQAEkAIABRACAAUABhAHIAYQAgAC0AIABhAC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1A68" w14:textId="77777777" w:rsidR="002E4A2A" w:rsidRDefault="002E4A2A" w:rsidP="00736AE4">
      <w:pPr>
        <w:spacing w:before="0" w:line="240" w:lineRule="auto"/>
      </w:pPr>
      <w:r>
        <w:separator/>
      </w:r>
    </w:p>
  </w:endnote>
  <w:endnote w:type="continuationSeparator" w:id="0">
    <w:p w14:paraId="60BEF372" w14:textId="77777777" w:rsidR="002E4A2A" w:rsidRDefault="002E4A2A" w:rsidP="00736A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A0F3" w14:textId="03FB264D" w:rsidR="00DE34B4" w:rsidRPr="004C3D7E" w:rsidRDefault="00DE34B4" w:rsidP="00E61A41">
    <w:pPr>
      <w:pStyle w:val="Footer"/>
      <w:spacing w:before="60"/>
      <w:jc w:val="center"/>
    </w:pPr>
    <w:r w:rsidRPr="004C3D7E">
      <w:fldChar w:fldCharType="begin"/>
    </w:r>
    <w:r w:rsidRPr="004C3D7E">
      <w:instrText xml:space="preserve"> PAGE  \* Arabic  \* MERGEFORMAT </w:instrText>
    </w:r>
    <w:r w:rsidRPr="004C3D7E">
      <w:fldChar w:fldCharType="separate"/>
    </w:r>
    <w:r w:rsidR="00460791">
      <w:rPr>
        <w:noProof/>
      </w:rPr>
      <w:t>11</w:t>
    </w:r>
    <w:r w:rsidRPr="004C3D7E">
      <w:fldChar w:fldCharType="end"/>
    </w:r>
  </w:p>
  <w:p w14:paraId="1C256CD0" w14:textId="1D1F61CB" w:rsidR="00DE34B4" w:rsidRPr="006E0BFA" w:rsidRDefault="00DE34B4" w:rsidP="00DE34B4">
    <w:pPr>
      <w:pStyle w:val="Footer"/>
      <w:spacing w:before="0"/>
      <w:rPr>
        <w:sz w:val="12"/>
      </w:rPr>
    </w:pPr>
    <w:bookmarkStart w:id="4" w:name="DocumentBody"/>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B3FF" w14:textId="4D031808" w:rsidR="00A6024A" w:rsidRPr="00E61A41" w:rsidRDefault="00A6024A" w:rsidP="00A6024A">
    <w:pPr>
      <w:pStyle w:val="Footer"/>
      <w:spacing w:before="60"/>
      <w:jc w:val="center"/>
      <w:rPr>
        <w:sz w:val="16"/>
      </w:rPr>
    </w:pPr>
    <w:r w:rsidRPr="00E61A41">
      <w:rPr>
        <w:sz w:val="16"/>
      </w:rPr>
      <w:fldChar w:fldCharType="begin"/>
    </w:r>
    <w:r w:rsidRPr="00E61A41">
      <w:rPr>
        <w:sz w:val="16"/>
      </w:rPr>
      <w:instrText xml:space="preserve"> PAGE  \* Arabic  \* MERGEFORMAT </w:instrText>
    </w:r>
    <w:r w:rsidRPr="00E61A41">
      <w:rPr>
        <w:sz w:val="16"/>
      </w:rPr>
      <w:fldChar w:fldCharType="separate"/>
    </w:r>
    <w:r w:rsidR="00460791">
      <w:rPr>
        <w:noProof/>
        <w:sz w:val="16"/>
      </w:rPr>
      <w:t>1</w:t>
    </w:r>
    <w:r w:rsidRPr="00E61A41">
      <w:rPr>
        <w:sz w:val="16"/>
      </w:rPr>
      <w:fldChar w:fldCharType="end"/>
    </w:r>
  </w:p>
  <w:p w14:paraId="5A39FDED" w14:textId="18F77109" w:rsidR="008F4FF2" w:rsidRPr="00E61A41" w:rsidRDefault="008F4FF2" w:rsidP="00A6024A">
    <w:pPr>
      <w:pStyle w:val="Footer"/>
      <w:spacing w:before="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00E1" w14:textId="77777777" w:rsidR="002E4A2A" w:rsidRDefault="002E4A2A" w:rsidP="00736AE4">
      <w:pPr>
        <w:spacing w:before="0" w:line="240" w:lineRule="auto"/>
      </w:pPr>
      <w:r>
        <w:separator/>
      </w:r>
    </w:p>
  </w:footnote>
  <w:footnote w:type="continuationSeparator" w:id="0">
    <w:p w14:paraId="50DA7DD3" w14:textId="77777777" w:rsidR="002E4A2A" w:rsidRDefault="002E4A2A" w:rsidP="00736AE4">
      <w:pPr>
        <w:spacing w:before="0" w:line="240" w:lineRule="auto"/>
      </w:pPr>
      <w:r>
        <w:continuationSeparator/>
      </w:r>
    </w:p>
  </w:footnote>
  <w:footnote w:id="1">
    <w:p w14:paraId="14BF629E" w14:textId="264DBC18" w:rsidR="00DE110B" w:rsidRDefault="00DE110B" w:rsidP="0012346C">
      <w:pPr>
        <w:pStyle w:val="FootnoteText"/>
        <w:ind w:left="142" w:hanging="142"/>
      </w:pPr>
      <w:r>
        <w:rPr>
          <w:rStyle w:val="FootnoteReference"/>
        </w:rPr>
        <w:footnoteRef/>
      </w:r>
      <w:r>
        <w:t xml:space="preserve"> </w:t>
      </w:r>
      <w:r w:rsidR="00D5223F">
        <w:t>Used here</w:t>
      </w:r>
      <w:r w:rsidR="0012346C">
        <w:t xml:space="preserve"> in the general sense of meaning to persuade, bring about etc. In other words, including but not limited to the U.S. </w:t>
      </w:r>
      <w:r w:rsidR="00D5223F">
        <w:t xml:space="preserve">and Canadian </w:t>
      </w:r>
      <w:r w:rsidR="0012346C">
        <w:t>concept</w:t>
      </w:r>
      <w:r w:rsidR="00D5223F">
        <w:t>s</w:t>
      </w:r>
      <w:r w:rsidR="0012346C">
        <w:t xml:space="preserve"> of "inducement", referred to in paragraph 12) above. This scenario is intended to look more broadly so as to encompass behaviour that might be less than what is required to make out </w:t>
      </w:r>
      <w:r w:rsidR="009B2CBD">
        <w:t>an inducing allegation in the U.S. or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49BF" w14:textId="4E3DA558" w:rsidR="00A6024A" w:rsidRDefault="00A6024A">
    <w:pPr>
      <w:pStyle w:val="Header"/>
    </w:pPr>
    <w:r w:rsidRPr="001E0EAA">
      <w:rPr>
        <w:noProof/>
        <w:highlight w:val="yellow"/>
        <w:lang w:val="de-CH" w:eastAsia="de-CH"/>
      </w:rPr>
      <w:drawing>
        <wp:anchor distT="0" distB="0" distL="114300" distR="114300" simplePos="0" relativeHeight="251659264" behindDoc="0" locked="0" layoutInCell="1" allowOverlap="1" wp14:anchorId="288E2BD7" wp14:editId="7134AE78">
          <wp:simplePos x="0" y="0"/>
          <wp:positionH relativeFrom="column">
            <wp:posOffset>5012055</wp:posOffset>
          </wp:positionH>
          <wp:positionV relativeFrom="paragraph">
            <wp:posOffset>-180340</wp:posOffset>
          </wp:positionV>
          <wp:extent cx="12204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86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CACA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F84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B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E2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C5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820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56DD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0B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609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01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2023EA"/>
    <w:multiLevelType w:val="hybridMultilevel"/>
    <w:tmpl w:val="C16830F6"/>
    <w:lvl w:ilvl="0" w:tplc="25F48206">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15:restartNumberingAfterBreak="0">
    <w:nsid w:val="378F397F"/>
    <w:multiLevelType w:val="hybridMultilevel"/>
    <w:tmpl w:val="C504B1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1E6F18"/>
    <w:multiLevelType w:val="multilevel"/>
    <w:tmpl w:val="D1449F44"/>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val="0"/>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C6D7E6E"/>
    <w:multiLevelType w:val="hybridMultilevel"/>
    <w:tmpl w:val="5B7860EC"/>
    <w:lvl w:ilvl="0" w:tplc="F48C5A5E">
      <w:start w:val="1"/>
      <w:numFmt w:val="lowerLetter"/>
      <w:lvlText w:val="(%1)"/>
      <w:lvlJc w:val="left"/>
      <w:pPr>
        <w:ind w:left="1418" w:hanging="360"/>
      </w:pPr>
    </w:lvl>
    <w:lvl w:ilvl="1" w:tplc="08090019">
      <w:start w:val="1"/>
      <w:numFmt w:val="lowerLetter"/>
      <w:lvlText w:val="%2."/>
      <w:lvlJc w:val="left"/>
      <w:pPr>
        <w:ind w:left="2138" w:hanging="360"/>
      </w:pPr>
    </w:lvl>
    <w:lvl w:ilvl="2" w:tplc="0809001B">
      <w:start w:val="1"/>
      <w:numFmt w:val="lowerRoman"/>
      <w:lvlText w:val="%3."/>
      <w:lvlJc w:val="right"/>
      <w:pPr>
        <w:ind w:left="2858" w:hanging="180"/>
      </w:pPr>
    </w:lvl>
    <w:lvl w:ilvl="3" w:tplc="0809000F">
      <w:start w:val="1"/>
      <w:numFmt w:val="decimal"/>
      <w:lvlText w:val="%4."/>
      <w:lvlJc w:val="left"/>
      <w:pPr>
        <w:ind w:left="3578" w:hanging="360"/>
      </w:pPr>
    </w:lvl>
    <w:lvl w:ilvl="4" w:tplc="08090019">
      <w:start w:val="1"/>
      <w:numFmt w:val="lowerLetter"/>
      <w:lvlText w:val="%5."/>
      <w:lvlJc w:val="left"/>
      <w:pPr>
        <w:ind w:left="4298" w:hanging="360"/>
      </w:pPr>
    </w:lvl>
    <w:lvl w:ilvl="5" w:tplc="0809001B">
      <w:start w:val="1"/>
      <w:numFmt w:val="lowerRoman"/>
      <w:lvlText w:val="%6."/>
      <w:lvlJc w:val="right"/>
      <w:pPr>
        <w:ind w:left="5018" w:hanging="180"/>
      </w:pPr>
    </w:lvl>
    <w:lvl w:ilvl="6" w:tplc="0809000F">
      <w:start w:val="1"/>
      <w:numFmt w:val="decimal"/>
      <w:lvlText w:val="%7."/>
      <w:lvlJc w:val="left"/>
      <w:pPr>
        <w:ind w:left="5738" w:hanging="360"/>
      </w:pPr>
    </w:lvl>
    <w:lvl w:ilvl="7" w:tplc="08090019">
      <w:start w:val="1"/>
      <w:numFmt w:val="lowerLetter"/>
      <w:lvlText w:val="%8."/>
      <w:lvlJc w:val="left"/>
      <w:pPr>
        <w:ind w:left="6458" w:hanging="360"/>
      </w:pPr>
    </w:lvl>
    <w:lvl w:ilvl="8" w:tplc="0809001B">
      <w:start w:val="1"/>
      <w:numFmt w:val="lowerRoman"/>
      <w:lvlText w:val="%9."/>
      <w:lvlJc w:val="right"/>
      <w:pPr>
        <w:ind w:left="7178" w:hanging="180"/>
      </w:pPr>
    </w:lvl>
  </w:abstractNum>
  <w:abstractNum w:abstractNumId="15" w15:restartNumberingAfterBreak="0">
    <w:nsid w:val="5E3B5251"/>
    <w:multiLevelType w:val="multilevel"/>
    <w:tmpl w:val="1B4A5364"/>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4D"/>
    <w:rsid w:val="00002DCA"/>
    <w:rsid w:val="00002E18"/>
    <w:rsid w:val="000044D8"/>
    <w:rsid w:val="000061A8"/>
    <w:rsid w:val="0001285E"/>
    <w:rsid w:val="00013792"/>
    <w:rsid w:val="00013A58"/>
    <w:rsid w:val="0001671B"/>
    <w:rsid w:val="000209F7"/>
    <w:rsid w:val="00020B49"/>
    <w:rsid w:val="00026698"/>
    <w:rsid w:val="0002741A"/>
    <w:rsid w:val="00035BAF"/>
    <w:rsid w:val="00040747"/>
    <w:rsid w:val="00042ED0"/>
    <w:rsid w:val="00047B0D"/>
    <w:rsid w:val="000534AF"/>
    <w:rsid w:val="000534C1"/>
    <w:rsid w:val="000536C0"/>
    <w:rsid w:val="00054C15"/>
    <w:rsid w:val="000570FF"/>
    <w:rsid w:val="00061265"/>
    <w:rsid w:val="00062018"/>
    <w:rsid w:val="00062770"/>
    <w:rsid w:val="000646A2"/>
    <w:rsid w:val="00065402"/>
    <w:rsid w:val="00066F15"/>
    <w:rsid w:val="00074188"/>
    <w:rsid w:val="00076777"/>
    <w:rsid w:val="00076AEB"/>
    <w:rsid w:val="000827C9"/>
    <w:rsid w:val="0009030D"/>
    <w:rsid w:val="000923AF"/>
    <w:rsid w:val="000931B7"/>
    <w:rsid w:val="00094262"/>
    <w:rsid w:val="0009611B"/>
    <w:rsid w:val="00097477"/>
    <w:rsid w:val="000A1E0B"/>
    <w:rsid w:val="000A3C59"/>
    <w:rsid w:val="000A5909"/>
    <w:rsid w:val="000B0943"/>
    <w:rsid w:val="000B5E99"/>
    <w:rsid w:val="000B68BE"/>
    <w:rsid w:val="000B767E"/>
    <w:rsid w:val="000C7E85"/>
    <w:rsid w:val="000D499A"/>
    <w:rsid w:val="000D54A9"/>
    <w:rsid w:val="000E5AC9"/>
    <w:rsid w:val="000F3DC3"/>
    <w:rsid w:val="000F6126"/>
    <w:rsid w:val="00100A00"/>
    <w:rsid w:val="00104144"/>
    <w:rsid w:val="001050DB"/>
    <w:rsid w:val="001078BD"/>
    <w:rsid w:val="0011525B"/>
    <w:rsid w:val="001174C5"/>
    <w:rsid w:val="00117B20"/>
    <w:rsid w:val="00120710"/>
    <w:rsid w:val="0012346C"/>
    <w:rsid w:val="00131607"/>
    <w:rsid w:val="001348D6"/>
    <w:rsid w:val="001424B2"/>
    <w:rsid w:val="00145387"/>
    <w:rsid w:val="001454FD"/>
    <w:rsid w:val="00150C35"/>
    <w:rsid w:val="00152D02"/>
    <w:rsid w:val="00157B8A"/>
    <w:rsid w:val="00160BC6"/>
    <w:rsid w:val="001648D0"/>
    <w:rsid w:val="00167B83"/>
    <w:rsid w:val="00170B6B"/>
    <w:rsid w:val="0017120F"/>
    <w:rsid w:val="001717E1"/>
    <w:rsid w:val="00174E0A"/>
    <w:rsid w:val="00175527"/>
    <w:rsid w:val="0017652D"/>
    <w:rsid w:val="00190E54"/>
    <w:rsid w:val="0019254D"/>
    <w:rsid w:val="00192F23"/>
    <w:rsid w:val="001A48FC"/>
    <w:rsid w:val="001A6E14"/>
    <w:rsid w:val="001B01A4"/>
    <w:rsid w:val="001B46F3"/>
    <w:rsid w:val="001B6E67"/>
    <w:rsid w:val="001B7A8D"/>
    <w:rsid w:val="001C646A"/>
    <w:rsid w:val="001D4983"/>
    <w:rsid w:val="001E0EAA"/>
    <w:rsid w:val="001E1925"/>
    <w:rsid w:val="001E2BE9"/>
    <w:rsid w:val="001E73FF"/>
    <w:rsid w:val="001F334C"/>
    <w:rsid w:val="001F506F"/>
    <w:rsid w:val="0020624B"/>
    <w:rsid w:val="0021504C"/>
    <w:rsid w:val="00215BA1"/>
    <w:rsid w:val="0021708D"/>
    <w:rsid w:val="002177D9"/>
    <w:rsid w:val="00217E7D"/>
    <w:rsid w:val="0022091D"/>
    <w:rsid w:val="00232CA6"/>
    <w:rsid w:val="00233545"/>
    <w:rsid w:val="0023514D"/>
    <w:rsid w:val="0024336F"/>
    <w:rsid w:val="002452DF"/>
    <w:rsid w:val="00250412"/>
    <w:rsid w:val="002512D5"/>
    <w:rsid w:val="002556AF"/>
    <w:rsid w:val="00256314"/>
    <w:rsid w:val="002656BF"/>
    <w:rsid w:val="002670C2"/>
    <w:rsid w:val="002749AD"/>
    <w:rsid w:val="00282E17"/>
    <w:rsid w:val="00290857"/>
    <w:rsid w:val="002968DE"/>
    <w:rsid w:val="00296C5E"/>
    <w:rsid w:val="002A0236"/>
    <w:rsid w:val="002A5C63"/>
    <w:rsid w:val="002B0B65"/>
    <w:rsid w:val="002B7AAD"/>
    <w:rsid w:val="002C169F"/>
    <w:rsid w:val="002C288C"/>
    <w:rsid w:val="002C5D56"/>
    <w:rsid w:val="002D2197"/>
    <w:rsid w:val="002D5542"/>
    <w:rsid w:val="002D5F31"/>
    <w:rsid w:val="002D644B"/>
    <w:rsid w:val="002D6884"/>
    <w:rsid w:val="002E4A2A"/>
    <w:rsid w:val="002F538A"/>
    <w:rsid w:val="00300ACC"/>
    <w:rsid w:val="00301ABE"/>
    <w:rsid w:val="00303096"/>
    <w:rsid w:val="003070E6"/>
    <w:rsid w:val="00322F4D"/>
    <w:rsid w:val="0032384F"/>
    <w:rsid w:val="0032495A"/>
    <w:rsid w:val="00330B0C"/>
    <w:rsid w:val="003325C6"/>
    <w:rsid w:val="00333F33"/>
    <w:rsid w:val="003363E1"/>
    <w:rsid w:val="003427E4"/>
    <w:rsid w:val="00342B9B"/>
    <w:rsid w:val="00344ED6"/>
    <w:rsid w:val="00347797"/>
    <w:rsid w:val="00350C0A"/>
    <w:rsid w:val="0035414E"/>
    <w:rsid w:val="00357756"/>
    <w:rsid w:val="00361DFB"/>
    <w:rsid w:val="00366D00"/>
    <w:rsid w:val="003730AA"/>
    <w:rsid w:val="003801BA"/>
    <w:rsid w:val="00380921"/>
    <w:rsid w:val="003920C5"/>
    <w:rsid w:val="00393F5A"/>
    <w:rsid w:val="00395FE2"/>
    <w:rsid w:val="00397BB5"/>
    <w:rsid w:val="003A4FC7"/>
    <w:rsid w:val="003A5FA5"/>
    <w:rsid w:val="003A768F"/>
    <w:rsid w:val="003B0316"/>
    <w:rsid w:val="003B4600"/>
    <w:rsid w:val="003B64F0"/>
    <w:rsid w:val="003B7A12"/>
    <w:rsid w:val="003B7AE0"/>
    <w:rsid w:val="003B7EF5"/>
    <w:rsid w:val="003F2225"/>
    <w:rsid w:val="003F35F7"/>
    <w:rsid w:val="003F4BAD"/>
    <w:rsid w:val="003F5EAA"/>
    <w:rsid w:val="003F62D0"/>
    <w:rsid w:val="004018C4"/>
    <w:rsid w:val="0040216A"/>
    <w:rsid w:val="0040233C"/>
    <w:rsid w:val="0040586C"/>
    <w:rsid w:val="0042680F"/>
    <w:rsid w:val="0042709C"/>
    <w:rsid w:val="00427687"/>
    <w:rsid w:val="0043134D"/>
    <w:rsid w:val="00441B84"/>
    <w:rsid w:val="0044265E"/>
    <w:rsid w:val="004449A0"/>
    <w:rsid w:val="00452351"/>
    <w:rsid w:val="00453228"/>
    <w:rsid w:val="00454A9D"/>
    <w:rsid w:val="00456C72"/>
    <w:rsid w:val="00460791"/>
    <w:rsid w:val="00460FAB"/>
    <w:rsid w:val="004610C2"/>
    <w:rsid w:val="0046201C"/>
    <w:rsid w:val="004646BC"/>
    <w:rsid w:val="00465531"/>
    <w:rsid w:val="00473091"/>
    <w:rsid w:val="00473239"/>
    <w:rsid w:val="004734CB"/>
    <w:rsid w:val="00474EE0"/>
    <w:rsid w:val="004756D5"/>
    <w:rsid w:val="00475C21"/>
    <w:rsid w:val="00484807"/>
    <w:rsid w:val="0049747E"/>
    <w:rsid w:val="004A514F"/>
    <w:rsid w:val="004A61DF"/>
    <w:rsid w:val="004B0FAD"/>
    <w:rsid w:val="004B29B6"/>
    <w:rsid w:val="004B34D9"/>
    <w:rsid w:val="004B5266"/>
    <w:rsid w:val="004C2AC7"/>
    <w:rsid w:val="004C3D7E"/>
    <w:rsid w:val="004D2877"/>
    <w:rsid w:val="004D572C"/>
    <w:rsid w:val="004D6412"/>
    <w:rsid w:val="004D6B49"/>
    <w:rsid w:val="004E2D6F"/>
    <w:rsid w:val="004E53F1"/>
    <w:rsid w:val="004E6EC0"/>
    <w:rsid w:val="004F3AC3"/>
    <w:rsid w:val="004F7299"/>
    <w:rsid w:val="005038D7"/>
    <w:rsid w:val="00504741"/>
    <w:rsid w:val="00507412"/>
    <w:rsid w:val="005139DB"/>
    <w:rsid w:val="00515B77"/>
    <w:rsid w:val="00520907"/>
    <w:rsid w:val="005221CB"/>
    <w:rsid w:val="00523FC7"/>
    <w:rsid w:val="00534A62"/>
    <w:rsid w:val="00535F00"/>
    <w:rsid w:val="00541C18"/>
    <w:rsid w:val="00546AB5"/>
    <w:rsid w:val="0055019A"/>
    <w:rsid w:val="005538A1"/>
    <w:rsid w:val="005542B7"/>
    <w:rsid w:val="00556018"/>
    <w:rsid w:val="00561FB0"/>
    <w:rsid w:val="0056474A"/>
    <w:rsid w:val="00564D67"/>
    <w:rsid w:val="00565311"/>
    <w:rsid w:val="005660DE"/>
    <w:rsid w:val="00566EA3"/>
    <w:rsid w:val="00574A9F"/>
    <w:rsid w:val="00584B27"/>
    <w:rsid w:val="00584C69"/>
    <w:rsid w:val="00584D2A"/>
    <w:rsid w:val="00590361"/>
    <w:rsid w:val="0059084E"/>
    <w:rsid w:val="00591A60"/>
    <w:rsid w:val="005943E0"/>
    <w:rsid w:val="0059635B"/>
    <w:rsid w:val="005A4599"/>
    <w:rsid w:val="005A6025"/>
    <w:rsid w:val="005B2B97"/>
    <w:rsid w:val="005B75A9"/>
    <w:rsid w:val="005C1974"/>
    <w:rsid w:val="005D0BBD"/>
    <w:rsid w:val="005D13AF"/>
    <w:rsid w:val="005D461C"/>
    <w:rsid w:val="005D599C"/>
    <w:rsid w:val="005D5DAB"/>
    <w:rsid w:val="005E3451"/>
    <w:rsid w:val="005E5639"/>
    <w:rsid w:val="005F48AE"/>
    <w:rsid w:val="005F5124"/>
    <w:rsid w:val="00600406"/>
    <w:rsid w:val="00601099"/>
    <w:rsid w:val="006012B2"/>
    <w:rsid w:val="00601D6D"/>
    <w:rsid w:val="0060444B"/>
    <w:rsid w:val="00612AF2"/>
    <w:rsid w:val="00621950"/>
    <w:rsid w:val="006225C1"/>
    <w:rsid w:val="006339AE"/>
    <w:rsid w:val="006365D9"/>
    <w:rsid w:val="00637D5B"/>
    <w:rsid w:val="00643945"/>
    <w:rsid w:val="006440AB"/>
    <w:rsid w:val="006559D0"/>
    <w:rsid w:val="00656500"/>
    <w:rsid w:val="0066649F"/>
    <w:rsid w:val="006675EC"/>
    <w:rsid w:val="00671192"/>
    <w:rsid w:val="00675506"/>
    <w:rsid w:val="00681536"/>
    <w:rsid w:val="0068670A"/>
    <w:rsid w:val="00687E69"/>
    <w:rsid w:val="0069046D"/>
    <w:rsid w:val="00693F80"/>
    <w:rsid w:val="006A68AF"/>
    <w:rsid w:val="006B1A56"/>
    <w:rsid w:val="006B3F6B"/>
    <w:rsid w:val="006B45ED"/>
    <w:rsid w:val="006B6EDD"/>
    <w:rsid w:val="006B72AA"/>
    <w:rsid w:val="006C1AFA"/>
    <w:rsid w:val="006C3587"/>
    <w:rsid w:val="006C478B"/>
    <w:rsid w:val="006D24AD"/>
    <w:rsid w:val="006D2F8E"/>
    <w:rsid w:val="006D3772"/>
    <w:rsid w:val="006D54DF"/>
    <w:rsid w:val="006D6208"/>
    <w:rsid w:val="006D6593"/>
    <w:rsid w:val="006D7AFF"/>
    <w:rsid w:val="006E0BFA"/>
    <w:rsid w:val="006F27B7"/>
    <w:rsid w:val="006F7F69"/>
    <w:rsid w:val="007000F5"/>
    <w:rsid w:val="00703830"/>
    <w:rsid w:val="00704F07"/>
    <w:rsid w:val="00710D4C"/>
    <w:rsid w:val="00715BF7"/>
    <w:rsid w:val="00721B49"/>
    <w:rsid w:val="00733217"/>
    <w:rsid w:val="00733860"/>
    <w:rsid w:val="00736AE4"/>
    <w:rsid w:val="007417F1"/>
    <w:rsid w:val="00747C21"/>
    <w:rsid w:val="00750D06"/>
    <w:rsid w:val="00753924"/>
    <w:rsid w:val="0075780A"/>
    <w:rsid w:val="00760F27"/>
    <w:rsid w:val="00766B47"/>
    <w:rsid w:val="00766FCE"/>
    <w:rsid w:val="0077185D"/>
    <w:rsid w:val="00771B9C"/>
    <w:rsid w:val="00775CC7"/>
    <w:rsid w:val="00775D7F"/>
    <w:rsid w:val="00784049"/>
    <w:rsid w:val="00790444"/>
    <w:rsid w:val="007A1F29"/>
    <w:rsid w:val="007A2C71"/>
    <w:rsid w:val="007A308F"/>
    <w:rsid w:val="007A6A3F"/>
    <w:rsid w:val="007B17EE"/>
    <w:rsid w:val="007B43D3"/>
    <w:rsid w:val="007B549A"/>
    <w:rsid w:val="007C12E5"/>
    <w:rsid w:val="007C45D3"/>
    <w:rsid w:val="007C60B5"/>
    <w:rsid w:val="007D13E4"/>
    <w:rsid w:val="007D3F9B"/>
    <w:rsid w:val="007E7BFE"/>
    <w:rsid w:val="007F2369"/>
    <w:rsid w:val="00801117"/>
    <w:rsid w:val="00801908"/>
    <w:rsid w:val="00802B98"/>
    <w:rsid w:val="00806290"/>
    <w:rsid w:val="00820953"/>
    <w:rsid w:val="00820F70"/>
    <w:rsid w:val="00822688"/>
    <w:rsid w:val="00823F7A"/>
    <w:rsid w:val="00824FFE"/>
    <w:rsid w:val="0083297C"/>
    <w:rsid w:val="0083590D"/>
    <w:rsid w:val="00841661"/>
    <w:rsid w:val="00841A5D"/>
    <w:rsid w:val="00841FD3"/>
    <w:rsid w:val="0084252E"/>
    <w:rsid w:val="008465E7"/>
    <w:rsid w:val="008520CA"/>
    <w:rsid w:val="00856813"/>
    <w:rsid w:val="0087679B"/>
    <w:rsid w:val="00876937"/>
    <w:rsid w:val="008771CA"/>
    <w:rsid w:val="008773CE"/>
    <w:rsid w:val="008812A6"/>
    <w:rsid w:val="00891635"/>
    <w:rsid w:val="00896365"/>
    <w:rsid w:val="008A10CE"/>
    <w:rsid w:val="008A1461"/>
    <w:rsid w:val="008A18E8"/>
    <w:rsid w:val="008A1FA2"/>
    <w:rsid w:val="008A29FD"/>
    <w:rsid w:val="008A6AA9"/>
    <w:rsid w:val="008B0396"/>
    <w:rsid w:val="008B295A"/>
    <w:rsid w:val="008B42A3"/>
    <w:rsid w:val="008B7D46"/>
    <w:rsid w:val="008C04AF"/>
    <w:rsid w:val="008C137F"/>
    <w:rsid w:val="008C67ED"/>
    <w:rsid w:val="008C6F2E"/>
    <w:rsid w:val="008D2DE3"/>
    <w:rsid w:val="008D4DE6"/>
    <w:rsid w:val="008D5A92"/>
    <w:rsid w:val="008E2A4E"/>
    <w:rsid w:val="008E3FD5"/>
    <w:rsid w:val="008E44A0"/>
    <w:rsid w:val="008E4905"/>
    <w:rsid w:val="008E6CD0"/>
    <w:rsid w:val="008F4FF2"/>
    <w:rsid w:val="008F6D9A"/>
    <w:rsid w:val="00900025"/>
    <w:rsid w:val="0090332A"/>
    <w:rsid w:val="00903418"/>
    <w:rsid w:val="009035D0"/>
    <w:rsid w:val="0090396F"/>
    <w:rsid w:val="0090616A"/>
    <w:rsid w:val="0091429D"/>
    <w:rsid w:val="00917679"/>
    <w:rsid w:val="00920AC0"/>
    <w:rsid w:val="0092238A"/>
    <w:rsid w:val="00923C44"/>
    <w:rsid w:val="00924063"/>
    <w:rsid w:val="00924EED"/>
    <w:rsid w:val="00926A87"/>
    <w:rsid w:val="0093103F"/>
    <w:rsid w:val="00937295"/>
    <w:rsid w:val="009440D8"/>
    <w:rsid w:val="009455BC"/>
    <w:rsid w:val="009459CA"/>
    <w:rsid w:val="00946F14"/>
    <w:rsid w:val="009506AF"/>
    <w:rsid w:val="00960DDE"/>
    <w:rsid w:val="0096198E"/>
    <w:rsid w:val="00972588"/>
    <w:rsid w:val="00972AC9"/>
    <w:rsid w:val="00976301"/>
    <w:rsid w:val="009771D7"/>
    <w:rsid w:val="009807CB"/>
    <w:rsid w:val="00985E0D"/>
    <w:rsid w:val="0098654C"/>
    <w:rsid w:val="00994C36"/>
    <w:rsid w:val="009A5AAC"/>
    <w:rsid w:val="009B0404"/>
    <w:rsid w:val="009B27C5"/>
    <w:rsid w:val="009B2CBD"/>
    <w:rsid w:val="009C7006"/>
    <w:rsid w:val="009D32AD"/>
    <w:rsid w:val="009D33DA"/>
    <w:rsid w:val="009E1A43"/>
    <w:rsid w:val="009E1DFD"/>
    <w:rsid w:val="009E425D"/>
    <w:rsid w:val="00A062FB"/>
    <w:rsid w:val="00A108C5"/>
    <w:rsid w:val="00A11128"/>
    <w:rsid w:val="00A130C2"/>
    <w:rsid w:val="00A20A4D"/>
    <w:rsid w:val="00A24D00"/>
    <w:rsid w:val="00A25509"/>
    <w:rsid w:val="00A27E38"/>
    <w:rsid w:val="00A3042E"/>
    <w:rsid w:val="00A326CB"/>
    <w:rsid w:val="00A36E27"/>
    <w:rsid w:val="00A419D4"/>
    <w:rsid w:val="00A423F8"/>
    <w:rsid w:val="00A53AEC"/>
    <w:rsid w:val="00A6024A"/>
    <w:rsid w:val="00A67060"/>
    <w:rsid w:val="00A75C09"/>
    <w:rsid w:val="00A761A9"/>
    <w:rsid w:val="00A779AA"/>
    <w:rsid w:val="00A808B2"/>
    <w:rsid w:val="00A80DA1"/>
    <w:rsid w:val="00A85E9D"/>
    <w:rsid w:val="00A906ED"/>
    <w:rsid w:val="00A96AE0"/>
    <w:rsid w:val="00AA57EF"/>
    <w:rsid w:val="00AB0815"/>
    <w:rsid w:val="00AB25B8"/>
    <w:rsid w:val="00AB3AC9"/>
    <w:rsid w:val="00AB6B7F"/>
    <w:rsid w:val="00AC7E40"/>
    <w:rsid w:val="00AD2A4F"/>
    <w:rsid w:val="00AD45BC"/>
    <w:rsid w:val="00AD7711"/>
    <w:rsid w:val="00AD7C6A"/>
    <w:rsid w:val="00AE00DB"/>
    <w:rsid w:val="00AE1580"/>
    <w:rsid w:val="00AE2AA1"/>
    <w:rsid w:val="00AE7777"/>
    <w:rsid w:val="00AF32BF"/>
    <w:rsid w:val="00B01077"/>
    <w:rsid w:val="00B05BFD"/>
    <w:rsid w:val="00B10409"/>
    <w:rsid w:val="00B156A9"/>
    <w:rsid w:val="00B23B47"/>
    <w:rsid w:val="00B23D2D"/>
    <w:rsid w:val="00B263A1"/>
    <w:rsid w:val="00B400A1"/>
    <w:rsid w:val="00B42E4D"/>
    <w:rsid w:val="00B433A1"/>
    <w:rsid w:val="00B47983"/>
    <w:rsid w:val="00B502DA"/>
    <w:rsid w:val="00B5155E"/>
    <w:rsid w:val="00B52865"/>
    <w:rsid w:val="00B57F9C"/>
    <w:rsid w:val="00B64E09"/>
    <w:rsid w:val="00B65362"/>
    <w:rsid w:val="00B67C34"/>
    <w:rsid w:val="00B707F9"/>
    <w:rsid w:val="00B775D5"/>
    <w:rsid w:val="00B85FCE"/>
    <w:rsid w:val="00B879CA"/>
    <w:rsid w:val="00B9274F"/>
    <w:rsid w:val="00B94C1D"/>
    <w:rsid w:val="00BA056B"/>
    <w:rsid w:val="00BA6412"/>
    <w:rsid w:val="00BA6AD2"/>
    <w:rsid w:val="00BA6E13"/>
    <w:rsid w:val="00BB0826"/>
    <w:rsid w:val="00BC1ECD"/>
    <w:rsid w:val="00BC47D1"/>
    <w:rsid w:val="00BC6D44"/>
    <w:rsid w:val="00BD148C"/>
    <w:rsid w:val="00BD631C"/>
    <w:rsid w:val="00BE4F09"/>
    <w:rsid w:val="00BE62DC"/>
    <w:rsid w:val="00BF3452"/>
    <w:rsid w:val="00BF4507"/>
    <w:rsid w:val="00BF6C7C"/>
    <w:rsid w:val="00C07918"/>
    <w:rsid w:val="00C106A4"/>
    <w:rsid w:val="00C11F94"/>
    <w:rsid w:val="00C15D75"/>
    <w:rsid w:val="00C15F2F"/>
    <w:rsid w:val="00C16E88"/>
    <w:rsid w:val="00C20ED2"/>
    <w:rsid w:val="00C32B0F"/>
    <w:rsid w:val="00C36629"/>
    <w:rsid w:val="00C36B17"/>
    <w:rsid w:val="00C36EC0"/>
    <w:rsid w:val="00C44A34"/>
    <w:rsid w:val="00C512FC"/>
    <w:rsid w:val="00C541DA"/>
    <w:rsid w:val="00C603D7"/>
    <w:rsid w:val="00C614D3"/>
    <w:rsid w:val="00C63620"/>
    <w:rsid w:val="00C71480"/>
    <w:rsid w:val="00C728EB"/>
    <w:rsid w:val="00C75413"/>
    <w:rsid w:val="00C757C8"/>
    <w:rsid w:val="00C75F46"/>
    <w:rsid w:val="00C83F83"/>
    <w:rsid w:val="00C85D6C"/>
    <w:rsid w:val="00C914AF"/>
    <w:rsid w:val="00C91594"/>
    <w:rsid w:val="00C92864"/>
    <w:rsid w:val="00CA30A6"/>
    <w:rsid w:val="00CA4812"/>
    <w:rsid w:val="00CB0D34"/>
    <w:rsid w:val="00CB5E0B"/>
    <w:rsid w:val="00CC0994"/>
    <w:rsid w:val="00CC2FCF"/>
    <w:rsid w:val="00CC384F"/>
    <w:rsid w:val="00CC7413"/>
    <w:rsid w:val="00CC78D8"/>
    <w:rsid w:val="00CD4C2E"/>
    <w:rsid w:val="00CD58F4"/>
    <w:rsid w:val="00CF2165"/>
    <w:rsid w:val="00CF48D4"/>
    <w:rsid w:val="00CF741D"/>
    <w:rsid w:val="00D059DE"/>
    <w:rsid w:val="00D1071C"/>
    <w:rsid w:val="00D12564"/>
    <w:rsid w:val="00D14FDC"/>
    <w:rsid w:val="00D161F2"/>
    <w:rsid w:val="00D20A12"/>
    <w:rsid w:val="00D240AD"/>
    <w:rsid w:val="00D264C6"/>
    <w:rsid w:val="00D41C76"/>
    <w:rsid w:val="00D46A2A"/>
    <w:rsid w:val="00D46EDD"/>
    <w:rsid w:val="00D47868"/>
    <w:rsid w:val="00D50212"/>
    <w:rsid w:val="00D509FD"/>
    <w:rsid w:val="00D5223F"/>
    <w:rsid w:val="00D600C6"/>
    <w:rsid w:val="00D60BC8"/>
    <w:rsid w:val="00D61383"/>
    <w:rsid w:val="00D67613"/>
    <w:rsid w:val="00D74304"/>
    <w:rsid w:val="00D74377"/>
    <w:rsid w:val="00D75FB0"/>
    <w:rsid w:val="00D8173A"/>
    <w:rsid w:val="00D834A5"/>
    <w:rsid w:val="00D9505F"/>
    <w:rsid w:val="00DB02CB"/>
    <w:rsid w:val="00DB2B6E"/>
    <w:rsid w:val="00DB3DB3"/>
    <w:rsid w:val="00DB5511"/>
    <w:rsid w:val="00DC38A7"/>
    <w:rsid w:val="00DC424B"/>
    <w:rsid w:val="00DC5FA9"/>
    <w:rsid w:val="00DC6A60"/>
    <w:rsid w:val="00DD5402"/>
    <w:rsid w:val="00DD5900"/>
    <w:rsid w:val="00DE110B"/>
    <w:rsid w:val="00DE34B4"/>
    <w:rsid w:val="00DE689A"/>
    <w:rsid w:val="00DF07BE"/>
    <w:rsid w:val="00DF3EF0"/>
    <w:rsid w:val="00DF61FB"/>
    <w:rsid w:val="00DF722B"/>
    <w:rsid w:val="00DF7D66"/>
    <w:rsid w:val="00E036DE"/>
    <w:rsid w:val="00E03D5C"/>
    <w:rsid w:val="00E07697"/>
    <w:rsid w:val="00E15E0D"/>
    <w:rsid w:val="00E161E3"/>
    <w:rsid w:val="00E172FE"/>
    <w:rsid w:val="00E2074E"/>
    <w:rsid w:val="00E221D6"/>
    <w:rsid w:val="00E22AED"/>
    <w:rsid w:val="00E23EC9"/>
    <w:rsid w:val="00E24B39"/>
    <w:rsid w:val="00E2534A"/>
    <w:rsid w:val="00E25864"/>
    <w:rsid w:val="00E25D65"/>
    <w:rsid w:val="00E267E5"/>
    <w:rsid w:val="00E312DA"/>
    <w:rsid w:val="00E31D7E"/>
    <w:rsid w:val="00E33F5E"/>
    <w:rsid w:val="00E35B82"/>
    <w:rsid w:val="00E36534"/>
    <w:rsid w:val="00E44546"/>
    <w:rsid w:val="00E45D71"/>
    <w:rsid w:val="00E52F65"/>
    <w:rsid w:val="00E53D6F"/>
    <w:rsid w:val="00E61A41"/>
    <w:rsid w:val="00E61ED3"/>
    <w:rsid w:val="00E67197"/>
    <w:rsid w:val="00E67C89"/>
    <w:rsid w:val="00E70993"/>
    <w:rsid w:val="00E85742"/>
    <w:rsid w:val="00E8626A"/>
    <w:rsid w:val="00E86A70"/>
    <w:rsid w:val="00E901D5"/>
    <w:rsid w:val="00E94B7D"/>
    <w:rsid w:val="00EA1EA5"/>
    <w:rsid w:val="00EB06B1"/>
    <w:rsid w:val="00EB6115"/>
    <w:rsid w:val="00EC2423"/>
    <w:rsid w:val="00EC6D7D"/>
    <w:rsid w:val="00ED1DC5"/>
    <w:rsid w:val="00ED3868"/>
    <w:rsid w:val="00ED486F"/>
    <w:rsid w:val="00ED499D"/>
    <w:rsid w:val="00ED7715"/>
    <w:rsid w:val="00ED7EFC"/>
    <w:rsid w:val="00EE108C"/>
    <w:rsid w:val="00EF082E"/>
    <w:rsid w:val="00EF2DC1"/>
    <w:rsid w:val="00EF4929"/>
    <w:rsid w:val="00F04124"/>
    <w:rsid w:val="00F0799F"/>
    <w:rsid w:val="00F12F28"/>
    <w:rsid w:val="00F1486A"/>
    <w:rsid w:val="00F1735E"/>
    <w:rsid w:val="00F17FE8"/>
    <w:rsid w:val="00F2097C"/>
    <w:rsid w:val="00F20983"/>
    <w:rsid w:val="00F247F1"/>
    <w:rsid w:val="00F26313"/>
    <w:rsid w:val="00F34B48"/>
    <w:rsid w:val="00F368EC"/>
    <w:rsid w:val="00F40E58"/>
    <w:rsid w:val="00F464B4"/>
    <w:rsid w:val="00F54E4E"/>
    <w:rsid w:val="00F7173E"/>
    <w:rsid w:val="00F8393D"/>
    <w:rsid w:val="00F8452B"/>
    <w:rsid w:val="00F9548B"/>
    <w:rsid w:val="00F95637"/>
    <w:rsid w:val="00FA02F0"/>
    <w:rsid w:val="00FA1BB5"/>
    <w:rsid w:val="00FA66A9"/>
    <w:rsid w:val="00FB24BD"/>
    <w:rsid w:val="00FB2C07"/>
    <w:rsid w:val="00FC14E0"/>
    <w:rsid w:val="00FC3C95"/>
    <w:rsid w:val="00FD6122"/>
    <w:rsid w:val="00FD6B28"/>
    <w:rsid w:val="00FE0BF3"/>
    <w:rsid w:val="00FE2DD6"/>
    <w:rsid w:val="00FE7DF1"/>
    <w:rsid w:val="00FF5824"/>
    <w:rsid w:val="00FF7FC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54C8FC"/>
  <w15:docId w15:val="{115A2D57-02EC-4C96-BA5F-00DFD325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108C5"/>
    <w:pPr>
      <w:spacing w:before="200" w:after="0"/>
    </w:pPr>
    <w:rPr>
      <w:rFonts w:ascii="Arial" w:hAnsi="Arial"/>
    </w:rPr>
  </w:style>
  <w:style w:type="paragraph" w:styleId="Heading1">
    <w:name w:val="heading 1"/>
    <w:basedOn w:val="Normal"/>
    <w:next w:val="Normal"/>
    <w:link w:val="Heading1Char"/>
    <w:uiPriority w:val="9"/>
    <w:semiHidden/>
    <w:qFormat/>
    <w:rsid w:val="00736AE4"/>
    <w:pPr>
      <w:keepNext/>
      <w:keepLines/>
      <w:spacing w:before="480"/>
      <w:outlineLvl w:val="0"/>
    </w:pPr>
    <w:rPr>
      <w:rFonts w:eastAsiaTheme="majorEastAsia" w:cs="Arial"/>
      <w:b/>
      <w:bCs/>
      <w:lang w:eastAsia="ja-JP"/>
    </w:rPr>
  </w:style>
  <w:style w:type="paragraph" w:styleId="Heading2">
    <w:name w:val="heading 2"/>
    <w:basedOn w:val="Normal"/>
    <w:next w:val="Normal"/>
    <w:link w:val="Heading2Char"/>
    <w:uiPriority w:val="9"/>
    <w:semiHidden/>
    <w:qFormat/>
    <w:rsid w:val="00736AE4"/>
    <w:pPr>
      <w:keepNext/>
      <w:keepLines/>
      <w:outlineLvl w:val="1"/>
    </w:pPr>
    <w:rPr>
      <w:rFonts w:eastAsiaTheme="majorEastAsia" w:cstheme="majorBidi"/>
      <w:bCs/>
      <w:szCs w:val="26"/>
      <w:u w:val="single"/>
    </w:rPr>
  </w:style>
  <w:style w:type="paragraph" w:styleId="Heading3">
    <w:name w:val="heading 3"/>
    <w:basedOn w:val="Normal"/>
    <w:next w:val="Normal"/>
    <w:link w:val="Heading3Char"/>
    <w:uiPriority w:val="9"/>
    <w:semiHidden/>
    <w:qFormat/>
    <w:rsid w:val="00736AE4"/>
    <w:pPr>
      <w:keepNext/>
      <w:keepLines/>
      <w:outlineLvl w:val="2"/>
    </w:pPr>
    <w:rPr>
      <w:rFonts w:eastAsiaTheme="majorEastAsia" w:cstheme="majorBidi"/>
      <w:b/>
      <w:bCs/>
    </w:rPr>
  </w:style>
  <w:style w:type="paragraph" w:styleId="Heading4">
    <w:name w:val="heading 4"/>
    <w:basedOn w:val="Normal"/>
    <w:next w:val="Normal"/>
    <w:link w:val="Heading4Char"/>
    <w:uiPriority w:val="9"/>
    <w:semiHidden/>
    <w:qFormat/>
    <w:rsid w:val="00736AE4"/>
    <w:pPr>
      <w:outlineLvl w:val="3"/>
    </w:pPr>
    <w:rPr>
      <w:rFonts w:eastAsiaTheme="majorEastAsia" w:cstheme="majorBidi"/>
      <w:bCs/>
      <w:iCs/>
    </w:rPr>
  </w:style>
  <w:style w:type="paragraph" w:styleId="Heading5">
    <w:name w:val="heading 5"/>
    <w:basedOn w:val="Normal"/>
    <w:next w:val="Normal"/>
    <w:link w:val="Heading5Char"/>
    <w:uiPriority w:val="9"/>
    <w:semiHidden/>
    <w:qFormat/>
    <w:rsid w:val="00736AE4"/>
    <w:pPr>
      <w:keepNext/>
      <w:keepLines/>
      <w:outlineLvl w:val="4"/>
    </w:pPr>
    <w:rPr>
      <w:rFonts w:eastAsiaTheme="majorEastAsia" w:cstheme="majorBidi"/>
    </w:rPr>
  </w:style>
  <w:style w:type="paragraph" w:styleId="Heading6">
    <w:name w:val="heading 6"/>
    <w:basedOn w:val="Normal"/>
    <w:next w:val="Normal"/>
    <w:link w:val="Heading6Char"/>
    <w:uiPriority w:val="9"/>
    <w:semiHidden/>
    <w:qFormat/>
    <w:rsid w:val="00EC6D7D"/>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520907"/>
    <w:rPr>
      <w:rFonts w:ascii="Arial" w:eastAsiaTheme="majorEastAsia" w:hAnsi="Arial" w:cs="Arial"/>
      <w:b/>
      <w:bCs/>
      <w:lang w:eastAsia="ja-JP"/>
    </w:rPr>
  </w:style>
  <w:style w:type="character" w:customStyle="1" w:styleId="Heading2Char">
    <w:name w:val="Heading 2 Char"/>
    <w:basedOn w:val="DefaultParagraphFont"/>
    <w:link w:val="Heading2"/>
    <w:uiPriority w:val="9"/>
    <w:semiHidden/>
    <w:rsid w:val="00520907"/>
    <w:rPr>
      <w:rFonts w:ascii="Arial" w:eastAsiaTheme="majorEastAsia" w:hAnsi="Arial" w:cstheme="majorBidi"/>
      <w:bCs/>
      <w:szCs w:val="26"/>
      <w:u w:val="single"/>
    </w:rPr>
  </w:style>
  <w:style w:type="character" w:customStyle="1" w:styleId="Heading3Char">
    <w:name w:val="Heading 3 Char"/>
    <w:basedOn w:val="DefaultParagraphFont"/>
    <w:link w:val="Heading3"/>
    <w:uiPriority w:val="9"/>
    <w:semiHidden/>
    <w:rsid w:val="005209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20907"/>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520907"/>
    <w:rPr>
      <w:rFonts w:ascii="Arial" w:eastAsiaTheme="majorEastAsia" w:hAnsi="Arial" w:cstheme="majorBidi"/>
    </w:rPr>
  </w:style>
  <w:style w:type="paragraph" w:customStyle="1" w:styleId="Body1">
    <w:name w:val="Body 1"/>
    <w:basedOn w:val="Normal"/>
    <w:link w:val="Body1Char"/>
    <w:semiHidden/>
    <w:qFormat/>
    <w:rsid w:val="00736AE4"/>
    <w:pPr>
      <w:spacing w:before="120" w:after="210" w:line="264" w:lineRule="auto"/>
      <w:jc w:val="both"/>
    </w:pPr>
    <w:rPr>
      <w:rFonts w:eastAsia="Arial Unicode MS" w:cs="Times New Roman"/>
      <w:sz w:val="21"/>
      <w:szCs w:val="21"/>
      <w:lang w:val="en-GB" w:eastAsia="en-GB"/>
    </w:rPr>
  </w:style>
  <w:style w:type="character" w:customStyle="1" w:styleId="Body1Char">
    <w:name w:val="Body 1 Char"/>
    <w:basedOn w:val="DefaultParagraphFont"/>
    <w:link w:val="Body1"/>
    <w:semiHidden/>
    <w:rsid w:val="003A4FC7"/>
    <w:rPr>
      <w:rFonts w:ascii="Arial" w:eastAsia="Arial Unicode MS" w:hAnsi="Arial" w:cs="Times New Roman"/>
      <w:sz w:val="21"/>
      <w:szCs w:val="21"/>
      <w:lang w:val="en-GB" w:eastAsia="en-GB"/>
    </w:rPr>
  </w:style>
  <w:style w:type="paragraph" w:styleId="FootnoteText">
    <w:name w:val="footnote text"/>
    <w:basedOn w:val="Normal"/>
    <w:link w:val="FootnoteTextChar"/>
    <w:uiPriority w:val="99"/>
    <w:rsid w:val="00A36E27"/>
    <w:pPr>
      <w:spacing w:before="120" w:line="240" w:lineRule="auto"/>
      <w:ind w:left="426" w:hanging="426"/>
    </w:pPr>
    <w:rPr>
      <w:rFonts w:eastAsiaTheme="minorEastAsia"/>
      <w:sz w:val="16"/>
      <w:szCs w:val="16"/>
    </w:rPr>
  </w:style>
  <w:style w:type="character" w:customStyle="1" w:styleId="FootnoteTextChar">
    <w:name w:val="Footnote Text Char"/>
    <w:basedOn w:val="DefaultParagraphFont"/>
    <w:link w:val="FootnoteText"/>
    <w:uiPriority w:val="99"/>
    <w:rsid w:val="00A36E27"/>
    <w:rPr>
      <w:rFonts w:ascii="Arial" w:eastAsiaTheme="minorEastAsia" w:hAnsi="Arial"/>
      <w:sz w:val="16"/>
      <w:szCs w:val="16"/>
    </w:rPr>
  </w:style>
  <w:style w:type="character" w:styleId="FootnoteReference">
    <w:name w:val="footnote reference"/>
    <w:basedOn w:val="DefaultParagraphFont"/>
    <w:uiPriority w:val="99"/>
    <w:semiHidden/>
    <w:rsid w:val="00736AE4"/>
    <w:rPr>
      <w:vertAlign w:val="superscript"/>
    </w:rPr>
  </w:style>
  <w:style w:type="paragraph" w:styleId="BodyText">
    <w:name w:val="Body Text"/>
    <w:basedOn w:val="Normal"/>
    <w:link w:val="BodyTextChar"/>
    <w:uiPriority w:val="99"/>
    <w:unhideWhenUsed/>
    <w:rsid w:val="00CC7413"/>
    <w:pPr>
      <w:spacing w:before="0" w:line="240" w:lineRule="auto"/>
    </w:pPr>
    <w:rPr>
      <w:rFonts w:eastAsiaTheme="minorEastAsia"/>
    </w:rPr>
  </w:style>
  <w:style w:type="character" w:customStyle="1" w:styleId="BodyTextChar">
    <w:name w:val="Body Text Char"/>
    <w:basedOn w:val="DefaultParagraphFont"/>
    <w:link w:val="BodyText"/>
    <w:uiPriority w:val="99"/>
    <w:rsid w:val="00CC7413"/>
    <w:rPr>
      <w:rFonts w:ascii="Arial" w:eastAsiaTheme="minorEastAsia" w:hAnsi="Arial"/>
    </w:rPr>
  </w:style>
  <w:style w:type="paragraph" w:customStyle="1" w:styleId="DocumentHeading">
    <w:name w:val="Document Heading"/>
    <w:basedOn w:val="Normal"/>
    <w:rsid w:val="00CC7413"/>
    <w:pPr>
      <w:spacing w:before="120" w:line="288" w:lineRule="auto"/>
      <w:jc w:val="center"/>
    </w:pPr>
    <w:rPr>
      <w:rFonts w:eastAsiaTheme="minorEastAsia" w:cs="Arial"/>
      <w:b/>
      <w:sz w:val="24"/>
      <w:szCs w:val="24"/>
      <w:lang w:val="en-US"/>
    </w:rPr>
  </w:style>
  <w:style w:type="paragraph" w:customStyle="1" w:styleId="Category">
    <w:name w:val="Category"/>
    <w:basedOn w:val="Normal"/>
    <w:rsid w:val="00CC7413"/>
    <w:pPr>
      <w:keepNext/>
      <w:spacing w:before="480" w:line="288" w:lineRule="auto"/>
      <w:jc w:val="center"/>
    </w:pPr>
    <w:rPr>
      <w:rFonts w:eastAsiaTheme="minorEastAsia" w:cs="Arial"/>
      <w:b/>
      <w:sz w:val="24"/>
      <w:szCs w:val="24"/>
      <w:lang w:val="en-US"/>
    </w:rPr>
  </w:style>
  <w:style w:type="paragraph" w:customStyle="1" w:styleId="CategoryTitle">
    <w:name w:val="Category Title"/>
    <w:basedOn w:val="Normal"/>
    <w:rsid w:val="00CC7413"/>
    <w:pPr>
      <w:keepNext/>
      <w:spacing w:before="240" w:line="288" w:lineRule="auto"/>
      <w:jc w:val="center"/>
    </w:pPr>
    <w:rPr>
      <w:rFonts w:eastAsiaTheme="minorEastAsia" w:cs="Arial"/>
      <w:b/>
      <w:sz w:val="24"/>
      <w:szCs w:val="24"/>
      <w:lang w:val="en-US"/>
    </w:rPr>
  </w:style>
  <w:style w:type="paragraph" w:customStyle="1" w:styleId="Italicsindent">
    <w:name w:val="Italics indent"/>
    <w:basedOn w:val="NormalIndent"/>
    <w:rsid w:val="00CC7413"/>
    <w:pPr>
      <w:spacing w:before="120" w:line="288" w:lineRule="auto"/>
    </w:pPr>
    <w:rPr>
      <w:rFonts w:eastAsiaTheme="minorEastAsia"/>
      <w:i/>
      <w:lang w:eastAsia="ja-JP"/>
    </w:rPr>
  </w:style>
  <w:style w:type="paragraph" w:customStyle="1" w:styleId="ReporterGeneral">
    <w:name w:val="Reporter General"/>
    <w:basedOn w:val="Normal"/>
    <w:rsid w:val="00CC7413"/>
    <w:pPr>
      <w:spacing w:before="60" w:line="288" w:lineRule="auto"/>
      <w:jc w:val="center"/>
    </w:pPr>
    <w:rPr>
      <w:rFonts w:eastAsiaTheme="minorEastAsia" w:cs="Arial"/>
      <w:sz w:val="24"/>
      <w:szCs w:val="24"/>
      <w:lang w:val="en-US"/>
    </w:rPr>
  </w:style>
  <w:style w:type="paragraph" w:customStyle="1" w:styleId="DeputyRGs">
    <w:name w:val="Deputy RGs"/>
    <w:basedOn w:val="Normal"/>
    <w:rsid w:val="00CC7413"/>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CC7413"/>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CC7413"/>
    <w:pPr>
      <w:spacing w:before="60" w:line="288" w:lineRule="auto"/>
      <w:jc w:val="center"/>
    </w:pPr>
    <w:rPr>
      <w:rFonts w:eastAsiaTheme="minorEastAsia" w:cs="Arial"/>
      <w:sz w:val="24"/>
      <w:szCs w:val="24"/>
      <w:lang w:val="en-US"/>
    </w:rPr>
  </w:style>
  <w:style w:type="paragraph" w:styleId="NormalIndent">
    <w:name w:val="Normal Indent"/>
    <w:basedOn w:val="Normal"/>
    <w:uiPriority w:val="99"/>
    <w:unhideWhenUsed/>
    <w:rsid w:val="00CC7413"/>
    <w:pPr>
      <w:ind w:left="720"/>
    </w:pPr>
  </w:style>
  <w:style w:type="paragraph" w:styleId="Header">
    <w:name w:val="header"/>
    <w:basedOn w:val="Normal"/>
    <w:link w:val="HeaderChar"/>
    <w:uiPriority w:val="99"/>
    <w:semiHidden/>
    <w:rsid w:val="00736AE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20907"/>
    <w:rPr>
      <w:rFonts w:ascii="Arial" w:hAnsi="Arial"/>
    </w:rPr>
  </w:style>
  <w:style w:type="paragraph" w:styleId="Footer">
    <w:name w:val="footer"/>
    <w:basedOn w:val="Normal"/>
    <w:link w:val="FooterChar"/>
    <w:uiPriority w:val="99"/>
    <w:semiHidden/>
    <w:rsid w:val="00736AE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20907"/>
    <w:rPr>
      <w:rFonts w:ascii="Arial" w:hAnsi="Arial"/>
    </w:rPr>
  </w:style>
  <w:style w:type="character" w:customStyle="1" w:styleId="Heading6Char">
    <w:name w:val="Heading 6 Char"/>
    <w:basedOn w:val="DefaultParagraphFont"/>
    <w:link w:val="Heading6"/>
    <w:uiPriority w:val="9"/>
    <w:semiHidden/>
    <w:rsid w:val="00520907"/>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rsid w:val="00020B49"/>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0907"/>
    <w:rPr>
      <w:rFonts w:ascii="Times New Roman" w:hAnsi="Times New Roman" w:cs="Times New Roman"/>
      <w:sz w:val="18"/>
      <w:szCs w:val="18"/>
    </w:rPr>
  </w:style>
  <w:style w:type="paragraph" w:customStyle="1" w:styleId="HeadingBold">
    <w:name w:val="Heading Bold"/>
    <w:basedOn w:val="Normal"/>
    <w:next w:val="Normal"/>
    <w:rsid w:val="00CC7413"/>
    <w:pPr>
      <w:keepNext/>
      <w:keepLines/>
      <w:numPr>
        <w:numId w:val="25"/>
      </w:numPr>
    </w:pPr>
    <w:rPr>
      <w:b/>
    </w:rPr>
  </w:style>
  <w:style w:type="paragraph" w:customStyle="1" w:styleId="HeadingUnderline">
    <w:name w:val="Heading Underline"/>
    <w:basedOn w:val="Normal"/>
    <w:rsid w:val="00CC7413"/>
    <w:pPr>
      <w:keepNext/>
      <w:keepLines/>
      <w:numPr>
        <w:ilvl w:val="1"/>
        <w:numId w:val="25"/>
      </w:numPr>
    </w:pPr>
    <w:rPr>
      <w:u w:val="single"/>
      <w:lang w:eastAsia="ja-JP"/>
    </w:rPr>
  </w:style>
  <w:style w:type="paragraph" w:customStyle="1" w:styleId="Para-1">
    <w:name w:val="Para - 1)"/>
    <w:basedOn w:val="Normal"/>
    <w:rsid w:val="00CC7413"/>
    <w:pPr>
      <w:numPr>
        <w:ilvl w:val="2"/>
        <w:numId w:val="25"/>
      </w:numPr>
    </w:pPr>
    <w:rPr>
      <w:lang w:eastAsia="ja-JP"/>
    </w:rPr>
  </w:style>
  <w:style w:type="paragraph" w:customStyle="1" w:styleId="Para-a">
    <w:name w:val="Para - a)"/>
    <w:basedOn w:val="Normal"/>
    <w:rsid w:val="00CC7413"/>
    <w:pPr>
      <w:numPr>
        <w:ilvl w:val="3"/>
        <w:numId w:val="25"/>
      </w:numPr>
    </w:pPr>
    <w:rPr>
      <w:lang w:eastAsia="ja-JP"/>
    </w:rPr>
  </w:style>
  <w:style w:type="paragraph" w:customStyle="1" w:styleId="Para-i">
    <w:name w:val="Para - i)"/>
    <w:basedOn w:val="Normal"/>
    <w:rsid w:val="00CC7413"/>
    <w:pPr>
      <w:numPr>
        <w:ilvl w:val="4"/>
        <w:numId w:val="25"/>
      </w:numPr>
    </w:pPr>
  </w:style>
  <w:style w:type="paragraph" w:customStyle="1" w:styleId="QHeadingI">
    <w:name w:val="Q Heading I"/>
    <w:basedOn w:val="Normal"/>
    <w:rsid w:val="00CC7413"/>
    <w:pPr>
      <w:keepNext/>
      <w:keepLines/>
      <w:numPr>
        <w:ilvl w:val="5"/>
        <w:numId w:val="25"/>
      </w:numPr>
    </w:pPr>
    <w:rPr>
      <w:b/>
    </w:rPr>
  </w:style>
  <w:style w:type="paragraph" w:customStyle="1" w:styleId="QPara-1">
    <w:name w:val="Q Para - 1)"/>
    <w:basedOn w:val="Normal"/>
    <w:rsid w:val="00CC7413"/>
    <w:pPr>
      <w:numPr>
        <w:ilvl w:val="6"/>
        <w:numId w:val="25"/>
      </w:numPr>
    </w:pPr>
  </w:style>
  <w:style w:type="paragraph" w:customStyle="1" w:styleId="QPara-a">
    <w:name w:val="Q Para - a)"/>
    <w:basedOn w:val="Normal"/>
    <w:rsid w:val="00CC7413"/>
    <w:pPr>
      <w:numPr>
        <w:ilvl w:val="7"/>
        <w:numId w:val="25"/>
      </w:numPr>
    </w:pPr>
  </w:style>
  <w:style w:type="paragraph" w:styleId="ListParagraph">
    <w:name w:val="List Paragraph"/>
    <w:aliases w:val="#Listenabsatz"/>
    <w:basedOn w:val="Normal"/>
    <w:uiPriority w:val="34"/>
    <w:qFormat/>
    <w:rsid w:val="009455BC"/>
    <w:pPr>
      <w:spacing w:before="0" w:after="200"/>
      <w:ind w:left="720"/>
      <w:contextualSpacing/>
    </w:pPr>
    <w:rPr>
      <w:rFonts w:asciiTheme="minorHAnsi" w:eastAsiaTheme="minorEastAsia" w:hAnsiTheme="minorHAns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9358">
      <w:bodyDiv w:val="1"/>
      <w:marLeft w:val="0"/>
      <w:marRight w:val="0"/>
      <w:marTop w:val="0"/>
      <w:marBottom w:val="0"/>
      <w:divBdr>
        <w:top w:val="none" w:sz="0" w:space="0" w:color="auto"/>
        <w:left w:val="none" w:sz="0" w:space="0" w:color="auto"/>
        <w:bottom w:val="none" w:sz="0" w:space="0" w:color="auto"/>
        <w:right w:val="none" w:sz="0" w:space="0" w:color="auto"/>
      </w:divBdr>
    </w:div>
    <w:div w:id="622006308">
      <w:bodyDiv w:val="1"/>
      <w:marLeft w:val="0"/>
      <w:marRight w:val="0"/>
      <w:marTop w:val="0"/>
      <w:marBottom w:val="0"/>
      <w:divBdr>
        <w:top w:val="none" w:sz="0" w:space="0" w:color="auto"/>
        <w:left w:val="none" w:sz="0" w:space="0" w:color="auto"/>
        <w:bottom w:val="none" w:sz="0" w:space="0" w:color="auto"/>
        <w:right w:val="none" w:sz="0" w:space="0" w:color="auto"/>
      </w:divBdr>
    </w:div>
    <w:div w:id="899635283">
      <w:bodyDiv w:val="1"/>
      <w:marLeft w:val="0"/>
      <w:marRight w:val="0"/>
      <w:marTop w:val="0"/>
      <w:marBottom w:val="0"/>
      <w:divBdr>
        <w:top w:val="none" w:sz="0" w:space="0" w:color="auto"/>
        <w:left w:val="none" w:sz="0" w:space="0" w:color="auto"/>
        <w:bottom w:val="none" w:sz="0" w:space="0" w:color="auto"/>
        <w:right w:val="none" w:sz="0" w:space="0" w:color="auto"/>
      </w:divBdr>
    </w:div>
    <w:div w:id="1228609123">
      <w:bodyDiv w:val="1"/>
      <w:marLeft w:val="0"/>
      <w:marRight w:val="0"/>
      <w:marTop w:val="0"/>
      <w:marBottom w:val="0"/>
      <w:divBdr>
        <w:top w:val="none" w:sz="0" w:space="0" w:color="auto"/>
        <w:left w:val="none" w:sz="0" w:space="0" w:color="auto"/>
        <w:bottom w:val="none" w:sz="0" w:space="0" w:color="auto"/>
        <w:right w:val="none" w:sz="0" w:space="0" w:color="auto"/>
      </w:divBdr>
    </w:div>
    <w:div w:id="16852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4B70-260F-43B1-ADC3-EC7847E8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8473AE10</Template>
  <TotalTime>0</TotalTime>
  <Pages>11</Pages>
  <Words>3685</Words>
  <Characters>23216</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Martin</dc:creator>
  <cp:lastModifiedBy>Fabienne Martin</cp:lastModifiedBy>
  <cp:revision>2</cp:revision>
  <dcterms:created xsi:type="dcterms:W3CDTF">2017-12-22T08:21:00Z</dcterms:created>
  <dcterms:modified xsi:type="dcterms:W3CDTF">2017-12-22T08:21:00Z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slmm A0141451788v2 305680836 </vt:lpwstr>
  </property>
  <property fmtid="{D5CDD505-2E9C-101B-9397-08002B2CF9AE}" pid="3" name="DOCSDocNumber">
    <vt:lpwstr>41451788</vt:lpwstr>
  </property>
  <property fmtid="{D5CDD505-2E9C-101B-9397-08002B2CF9AE}" pid="4" name="DOCSDocumentID">
    <vt:lpwstr>A0141451788</vt:lpwstr>
  </property>
</Properties>
</file>