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StandardWeb"/>
      </w:pPr>
      <w:r>
        <w:t>Wird ein auf das Bonner Grundgesetz und das jeweilige Landesbeamtengesetz vereidigter beamteter Gerichtsvollzieher seit der Privatisierung des Gerichtsvollziehe</w:t>
      </w:r>
      <w:r>
        <w:rPr>
          <w:rStyle w:val="textexposedshow"/>
        </w:rPr>
        <w:t xml:space="preserve">rwesens nach dem 01.08.2012 trotzdem gegenüber dem einzelnen Grundrechtsträger tätig, macht er sich in vielfältiger Weise strafbar, z.B. wegen Falschbeurkundung im Amt gemäß 348 StGB bei Aufnahme des Grundrechtsträgers in das sog. Schuldnerverzeichnis, im Fall der Vorladung zum Zwecke der Abgabe der eidesstaatlichen Versicherung und ggf. anschließender in </w:t>
      </w:r>
      <w:proofErr w:type="spellStart"/>
      <w:r>
        <w:rPr>
          <w:rStyle w:val="textexposedshow"/>
        </w:rPr>
        <w:t>Beugehaftnahme</w:t>
      </w:r>
      <w:proofErr w:type="spellEnd"/>
      <w:r>
        <w:rPr>
          <w:rStyle w:val="textexposedshow"/>
        </w:rPr>
        <w:t xml:space="preserve"> wegen Aussageerpressung gemäß § 343 Abs. 1 Ziff. 1 StGB, im Fall der Gewaltanwendung oder Drohung mit einem empfindlichen Übel wegen gewerbsmäßiger Erpressung gemäß § 253 Abs. 4 StGB sowie räuberischer Erpressung gemäß § 255 StGB.</w:t>
      </w:r>
    </w:p>
    <w:p>
      <w:pPr>
        <w:pStyle w:val="StandardWeb"/>
      </w:pPr>
      <w:r>
        <w:t xml:space="preserve">Derartige Straftaten stellen gleichzeitig Grundrechteverletzungen dar. </w:t>
      </w:r>
    </w:p>
    <w:p>
      <w:pPr>
        <w:pStyle w:val="StandardWeb"/>
      </w:pPr>
      <w:r>
        <w:t xml:space="preserve">»Die Grundrechte sind in erster Linie Abwehrrechte des Bürgers gegen den Staat und seine Institutionen« (so </w:t>
      </w:r>
      <w:proofErr w:type="spellStart"/>
      <w:r>
        <w:t>BverfGE</w:t>
      </w:r>
      <w:proofErr w:type="spellEnd"/>
      <w:r>
        <w:t xml:space="preserve"> 7, 138ff. vom 15. Januar 1958).</w:t>
      </w:r>
    </w:p>
    <w:p>
      <w:pPr>
        <w:pStyle w:val="StandardWeb"/>
      </w:pPr>
      <w:r>
        <w:t>Gegen derartige strafbare Handlungen hat der betroffene Grundrechtsträger jederzeit das Notwehrrecht gemäß §§ 32 und 34 StGB. Bei der Ausübung des Notwehrrechts seitens des Grundrechtsträgers gegen den seit dem 01.08.2012 privatisierten und weiterhin beamteten Gerichtsvollzieher und dessen eventuellen Amtshelfer (z.B. Polizei oder Zoll) sind im Lichte des Art. 20 Abs.</w:t>
      </w:r>
      <w:r>
        <w:t xml:space="preserve"> 3 GG sowie Art. 1 Abs. 3 GG </w:t>
      </w:r>
      <w:proofErr w:type="spellStart"/>
      <w:r>
        <w:t>i.V</w:t>
      </w:r>
      <w:bookmarkStart w:id="0" w:name="_GoBack"/>
      <w:bookmarkEnd w:id="0"/>
      <w:r>
        <w:t>.m</w:t>
      </w:r>
      <w:proofErr w:type="spellEnd"/>
      <w:r>
        <w:t>. mit dem jeweils geleisteten Diensteid weder der Gerichtsvollzieher noch dessen eventuelle Amtshelfer befugt, sich auf den Straftatbestand des § 113 Abs. 1 und 2 StGB zu berufen, geschweige denn der Notwehrhandlung des Grundrechteträgers gewaltsam hoheitlich entgegenzutreten, da der Abs. 3 des § 113 StGB folgende Regelungen enthält:</w:t>
      </w:r>
    </w:p>
    <w:p>
      <w:pPr>
        <w:pStyle w:val="StandardWeb"/>
      </w:pPr>
      <w:r>
        <w:t>»Die Tat ist nicht nach dieser Vorschrift strafbar, wenn die Diensthandlung nicht rechtmäßig ist. Dies gilt auch dann, wenn der Täter irrig annimmt, die Diensthandlung sei rechtmäßig</w:t>
      </w:r>
      <w:proofErr w:type="gramStart"/>
      <w:r>
        <w:t>.«</w:t>
      </w:r>
      <w:proofErr w:type="gramEnd"/>
    </w:p>
    <w:p>
      <w:pPr>
        <w:pStyle w:val="StandardWeb"/>
      </w:pPr>
      <w:r>
        <w:t>Die Diensthandlung des immer noch beamteten Gerichtsvollziehers im seit dem 01.08.2012 privatisierten Gerichtsvollzieherwesen ist seitdem immer nicht rechtmäßig, weil er nicht mehr öffentlich – rechtlich tätig wird, sondern privatrechtlich mit der Folge, dass er nur im Einverständnis mit dem Schuldner bzw. Adressaten im Vollstreckungsauftrag für den Gläubiger wie z.B. ein privatrechtlich tätiges Inkassounternehmen tätig werden darf. Die Ausübung jeglichen Zwanges ist ihm als privatisierter Gerichtsvollzieher untersagt. Es ist ihm sogar verwehrt, die gesetzlich geregelten Ausnahmefälle wie Notwehr (§ 32 StGB), Nothilfe (§ 32 StGB), Selbsthilfe (§ 229 BGB), Notstand (§ 34 StGB) und vorläufige Festnahme gemäß § 127 Abs. 1 StPO in Anspruch zu nehmen.</w:t>
      </w:r>
    </w:p>
    <w:p>
      <w:pPr>
        <w:pStyle w:val="StandardWeb"/>
      </w:pPr>
      <w:r>
        <w:t xml:space="preserve">Durch die gesetz- bzw. </w:t>
      </w:r>
      <w:proofErr w:type="spellStart"/>
      <w:r>
        <w:t>verordnungsgeberischen</w:t>
      </w:r>
      <w:proofErr w:type="spellEnd"/>
      <w:r>
        <w:t xml:space="preserve"> Änderungen im bundesdeutschen Gerichtsvollzieherwesen (§§ 753 ff und 802a ff ZPO und die Änderungen in den Gerichtsvollzieherordnung der Länder), die als verfassungswidrige Verfassungsdurchbrechung anzusehen sind, ist das Gerichtsvollzieherwesen de facto inaktiviert worden. In diesem Zusammenhang ist der Beschluss des BVerfG vom 25.02.1987 in 1 </w:t>
      </w:r>
      <w:proofErr w:type="spellStart"/>
      <w:r>
        <w:t>BvR</w:t>
      </w:r>
      <w:proofErr w:type="spellEnd"/>
      <w:r>
        <w:t xml:space="preserve"> 1086/85 von Bedeutung, der da im Kern lautet:</w:t>
      </w:r>
    </w:p>
    <w:p>
      <w:pPr>
        <w:pStyle w:val="StandardWeb"/>
      </w:pPr>
      <w:r>
        <w:t xml:space="preserve">»Da es der Rechtsstaat – abgesehen von gesetzlich geregelten Ausnahmefällen (Notwehr, Nothilfe, Selbsthilfe, Notstand und vorläufige Festnahme) – dem Bürger verwehrt, sein wirkliches oder vermeintliches Recht sowohl gegenüber staatlichen Organen als auch gegenüber dem Mitbürger mit Gewalt durchzusetzen, muss der Einzelne sein Recht vor staatlichen Gerichten suchen und es mit Hilfe der Staatsgewalt vollstrecken (vgl. Merten, Rechtsstaat und Gewaltmonopol, 1975, S. 56 f.). Aus dem Verbot der Privatgewalt und der </w:t>
      </w:r>
      <w:r>
        <w:lastRenderedPageBreak/>
        <w:t>Verstaatlichung der Rechtsdurchsetzung folgt umgekehrt die Pflicht des Staates, für die Sicherheit seiner Bürger zu sorgen und die Beachtung ihrer Rechte sicherzustellen (Merten, a.a.O., S. 61)</w:t>
      </w:r>
      <w:proofErr w:type="gramStart"/>
      <w:r>
        <w:t>.«</w:t>
      </w:r>
      <w:proofErr w:type="gramEnd"/>
    </w:p>
    <w:p>
      <w:pPr>
        <w:pStyle w:val="StandardWeb"/>
      </w:pPr>
      <w:r>
        <w:t>Bezogen auf die bereits seit dem 01.08.2012 durchgeführten Vollstreckungshandlungen der immer noch beamteten Gerichtsvollzieher ist also festzustellen, dass diese nichtig sind und jeder Grundrechtsträger gemäß Art. 19 Abs. 4 GG den absoluten Folgenbeseitigungsanspruch zwecks Rückabwicklung wegen Grundrechteverletzung hat.</w:t>
      </w:r>
    </w:p>
    <w:p>
      <w:pPr>
        <w:pStyle w:val="StandardWeb"/>
      </w:pPr>
      <w:r>
        <w:t>Quelle: Grundrechtepartei</w:t>
      </w:r>
      <w:r>
        <w:br/>
      </w:r>
    </w:p>
    <w:p>
      <w:pPr>
        <w:pStyle w:val="StandardWeb"/>
      </w:pPr>
      <w:r>
        <w:t>F</w:t>
      </w:r>
      <w:r>
        <w:t xml:space="preserve">ür </w:t>
      </w:r>
      <w:r>
        <w:t xml:space="preserve">nachgewiesene, </w:t>
      </w:r>
      <w:r>
        <w:t>gesetzliche Deutsche sicher anwendbar</w:t>
      </w:r>
      <w:r>
        <w:t>; jedoch nicht für Personalausweisträger-DEUTSCH</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04D4D-25F8-4644-B4C7-615BF523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xtexposedshow">
    <w:name w:val="text_exposed_show"/>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099607">
      <w:bodyDiv w:val="1"/>
      <w:marLeft w:val="0"/>
      <w:marRight w:val="0"/>
      <w:marTop w:val="0"/>
      <w:marBottom w:val="0"/>
      <w:divBdr>
        <w:top w:val="none" w:sz="0" w:space="0" w:color="auto"/>
        <w:left w:val="none" w:sz="0" w:space="0" w:color="auto"/>
        <w:bottom w:val="none" w:sz="0" w:space="0" w:color="auto"/>
        <w:right w:val="none" w:sz="0" w:space="0" w:color="auto"/>
      </w:divBdr>
      <w:divsChild>
        <w:div w:id="525950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3692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dc:creator>
  <cp:keywords/>
  <dc:description/>
  <cp:lastModifiedBy>MOBIL</cp:lastModifiedBy>
  <cp:revision>1</cp:revision>
  <dcterms:created xsi:type="dcterms:W3CDTF">2016-10-18T08:20:00Z</dcterms:created>
  <dcterms:modified xsi:type="dcterms:W3CDTF">2016-10-18T08:22:00Z</dcterms:modified>
</cp:coreProperties>
</file>