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1276"/>
        <w:gridCol w:w="2268"/>
        <w:gridCol w:w="3260"/>
        <w:gridCol w:w="2977"/>
      </w:tblGrid>
      <w:tr w:rsidR="00B56E9C" w:rsidTr="00A8375B">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p>
        </w:tc>
        <w:tc>
          <w:tcPr>
            <w:tcW w:w="6237" w:type="dxa"/>
            <w:gridSpan w:val="2"/>
            <w:tcBorders>
              <w:bottom w:val="single" w:sz="4" w:space="0" w:color="auto"/>
            </w:tcBorders>
            <w:vAlign w:val="bottom"/>
          </w:tcPr>
          <w:p w:rsidR="00B56E9C" w:rsidRPr="00D47EEA" w:rsidRDefault="00B56E9C" w:rsidP="00CD2E0D">
            <w:pPr>
              <w:jc w:val="right"/>
            </w:pPr>
          </w:p>
        </w:tc>
      </w:tr>
      <w:tr w:rsidR="00B56E9C" w:rsidTr="00A8375B">
        <w:trPr>
          <w:cantSplit/>
          <w:trHeight w:hRule="exact" w:val="2835"/>
        </w:trPr>
        <w:tc>
          <w:tcPr>
            <w:tcW w:w="1276" w:type="dxa"/>
            <w:tcBorders>
              <w:top w:val="single" w:sz="4" w:space="0" w:color="auto"/>
              <w:bottom w:val="single" w:sz="12" w:space="0" w:color="auto"/>
            </w:tcBorders>
          </w:tcPr>
          <w:p w:rsidR="00B56E9C" w:rsidRDefault="00B56E9C" w:rsidP="00B6553F">
            <w:pPr>
              <w:spacing w:before="120"/>
            </w:pPr>
          </w:p>
        </w:tc>
        <w:tc>
          <w:tcPr>
            <w:tcW w:w="5528" w:type="dxa"/>
            <w:gridSpan w:val="2"/>
            <w:tcBorders>
              <w:top w:val="single" w:sz="4" w:space="0" w:color="auto"/>
              <w:bottom w:val="single" w:sz="12" w:space="0" w:color="auto"/>
            </w:tcBorders>
          </w:tcPr>
          <w:p w:rsidR="00B56E9C" w:rsidRPr="00267F5F" w:rsidRDefault="00A8375B" w:rsidP="00267F5F">
            <w:pPr>
              <w:spacing w:before="120" w:line="380" w:lineRule="exact"/>
              <w:rPr>
                <w:sz w:val="34"/>
              </w:rPr>
            </w:pPr>
            <w:r>
              <w:rPr>
                <w:sz w:val="34"/>
              </w:rPr>
              <w:t>Advance Unedited Version</w:t>
            </w:r>
          </w:p>
        </w:tc>
        <w:tc>
          <w:tcPr>
            <w:tcW w:w="2977" w:type="dxa"/>
            <w:tcBorders>
              <w:top w:val="single" w:sz="4" w:space="0" w:color="auto"/>
              <w:bottom w:val="single" w:sz="12" w:space="0" w:color="auto"/>
            </w:tcBorders>
          </w:tcPr>
          <w:p w:rsidR="00CA1D56" w:rsidRDefault="00CA1D56" w:rsidP="006959AE">
            <w:pPr>
              <w:spacing w:line="240" w:lineRule="exact"/>
            </w:pPr>
          </w:p>
        </w:tc>
      </w:tr>
    </w:tbl>
    <w:p w:rsidR="00120941" w:rsidRPr="00F81F83" w:rsidRDefault="00120941" w:rsidP="00120941">
      <w:pPr>
        <w:spacing w:before="120"/>
        <w:rPr>
          <w:b/>
          <w:bCs/>
          <w:sz w:val="24"/>
          <w:szCs w:val="24"/>
        </w:rPr>
      </w:pPr>
      <w:r w:rsidRPr="00F81F83">
        <w:rPr>
          <w:b/>
          <w:bCs/>
          <w:sz w:val="24"/>
          <w:szCs w:val="24"/>
        </w:rPr>
        <w:t>Human Rights Committee</w:t>
      </w:r>
    </w:p>
    <w:p w:rsidR="00120941" w:rsidRPr="00F81F83" w:rsidRDefault="00120941" w:rsidP="00120941">
      <w:pPr>
        <w:rPr>
          <w:b/>
          <w:bCs/>
        </w:rPr>
      </w:pPr>
      <w:r w:rsidRPr="00F81F83">
        <w:rPr>
          <w:b/>
          <w:bCs/>
        </w:rPr>
        <w:t>11</w:t>
      </w:r>
      <w:r w:rsidR="00524418">
        <w:rPr>
          <w:b/>
          <w:bCs/>
        </w:rPr>
        <w:t>7</w:t>
      </w:r>
      <w:r w:rsidRPr="00F81F83">
        <w:rPr>
          <w:b/>
          <w:bCs/>
        </w:rPr>
        <w:t>th session</w:t>
      </w:r>
    </w:p>
    <w:p w:rsidR="00120941" w:rsidRPr="00F81F83" w:rsidRDefault="00766CCD" w:rsidP="00120941">
      <w:r>
        <w:t>20 June -</w:t>
      </w:r>
      <w:r w:rsidR="00524418">
        <w:t xml:space="preserve"> 15 July </w:t>
      </w:r>
      <w:r w:rsidR="00120941" w:rsidRPr="00F81F83">
        <w:t>201</w:t>
      </w:r>
      <w:r w:rsidR="00120941">
        <w:t>6</w:t>
      </w:r>
    </w:p>
    <w:p w:rsidR="00120941" w:rsidRDefault="00120941" w:rsidP="00120941">
      <w:r>
        <w:t>Agenda item 5</w:t>
      </w:r>
    </w:p>
    <w:p w:rsidR="00120941" w:rsidRDefault="00120941" w:rsidP="00120941">
      <w:r>
        <w:rPr>
          <w:b/>
        </w:rPr>
        <w:t>Consideration of reports submitted by States parties</w:t>
      </w:r>
      <w:r>
        <w:rPr>
          <w:b/>
        </w:rPr>
        <w:br/>
        <w:t>under article 40 of the Covenant</w:t>
      </w:r>
    </w:p>
    <w:p w:rsidR="00120941" w:rsidRDefault="00120941" w:rsidP="00120941">
      <w:pPr>
        <w:pStyle w:val="HChG"/>
      </w:pPr>
      <w:r>
        <w:tab/>
      </w:r>
      <w:r>
        <w:tab/>
        <w:t xml:space="preserve">Concluding observations on the </w:t>
      </w:r>
      <w:r w:rsidR="004F73BD">
        <w:t>third</w:t>
      </w:r>
      <w:r>
        <w:t xml:space="preserve"> periodic report of </w:t>
      </w:r>
      <w:r w:rsidR="004F73BD">
        <w:t>Kuwait</w:t>
      </w:r>
    </w:p>
    <w:p w:rsidR="00120941" w:rsidRDefault="00120941" w:rsidP="00BC5F20">
      <w:pPr>
        <w:pStyle w:val="H1G"/>
        <w:rPr>
          <w:szCs w:val="24"/>
          <w:lang w:eastAsia="en-GB"/>
        </w:rPr>
      </w:pPr>
      <w:r>
        <w:tab/>
      </w:r>
      <w:r>
        <w:tab/>
        <w:t>Draft prepared by the Committee</w:t>
      </w:r>
      <w:r>
        <w:rPr>
          <w:rStyle w:val="FootnoteReference"/>
          <w:rFonts w:eastAsia="SimSun"/>
        </w:rPr>
        <w:footnoteReference w:customMarkFollows="1" w:id="2"/>
        <w:t>*</w:t>
      </w:r>
      <w:r>
        <w:rPr>
          <w:szCs w:val="24"/>
          <w:lang w:eastAsia="en-GB"/>
        </w:rPr>
        <w:t xml:space="preserve"> </w:t>
      </w:r>
    </w:p>
    <w:p w:rsidR="004F73BD" w:rsidRPr="00CA1D56" w:rsidRDefault="00C94AA1" w:rsidP="00C94AA1">
      <w:pPr>
        <w:spacing w:after="120"/>
        <w:ind w:left="1134" w:right="1134" w:hanging="11"/>
        <w:jc w:val="both"/>
      </w:pPr>
      <w:r w:rsidRPr="00CA1D56">
        <w:t>1.</w:t>
      </w:r>
      <w:r w:rsidRPr="00CA1D56">
        <w:tab/>
      </w:r>
      <w:r w:rsidR="004F73BD" w:rsidRPr="00CA1D56">
        <w:t>The Committee considered the third periodic report of Kuwait (CCPR/C/KWT/3) at its 3269 and 3270 meetings (see CCPR/C/SR.3269 and 3270), held on 21 and 22 June 2016. At its 3293 meeting, held on 8 July 2016, it adopted the present concluding observations.</w:t>
      </w:r>
      <w:r w:rsidR="004F73BD" w:rsidRPr="00CA1D56">
        <w:tab/>
      </w:r>
    </w:p>
    <w:p w:rsidR="004F73BD" w:rsidRPr="00BC5F20" w:rsidRDefault="004F73BD" w:rsidP="004F73BD">
      <w:pPr>
        <w:pStyle w:val="H1G"/>
        <w:rPr>
          <w:szCs w:val="24"/>
        </w:rPr>
      </w:pPr>
      <w:r w:rsidRPr="004A42FB">
        <w:rPr>
          <w:szCs w:val="24"/>
        </w:rPr>
        <w:tab/>
        <w:t>A.</w:t>
      </w:r>
      <w:r w:rsidRPr="004A42FB">
        <w:rPr>
          <w:szCs w:val="24"/>
        </w:rPr>
        <w:tab/>
      </w:r>
      <w:r w:rsidRPr="00BC5F20">
        <w:rPr>
          <w:szCs w:val="24"/>
        </w:rPr>
        <w:t>Introduction</w:t>
      </w:r>
    </w:p>
    <w:p w:rsidR="004F73BD" w:rsidRPr="004A42FB" w:rsidRDefault="00C94AA1" w:rsidP="00BC5F20">
      <w:pPr>
        <w:pStyle w:val="SingleTxtG"/>
      </w:pPr>
      <w:r w:rsidRPr="00BC5F20">
        <w:t>2.</w:t>
      </w:r>
      <w:r w:rsidRPr="00BC5F20">
        <w:tab/>
      </w:r>
      <w:r w:rsidR="004F73BD" w:rsidRPr="00BC5F20">
        <w:t>The Committee</w:t>
      </w:r>
      <w:r w:rsidR="004F73BD" w:rsidRPr="004A42FB">
        <w:t xml:space="preserve"> welcomes the timely submission of the third periodic report of Kuwait and the information presented therein. It expresses appreciation for the opportunity to renew its constructive dialogue with the State party’s high-level</w:t>
      </w:r>
      <w:r w:rsidR="004F73BD" w:rsidRPr="004A42FB">
        <w:rPr>
          <w:color w:val="FF0000"/>
        </w:rPr>
        <w:t xml:space="preserve"> </w:t>
      </w:r>
      <w:r w:rsidR="004F73BD" w:rsidRPr="004A42FB">
        <w:t>delegation on the measures taken during the reporting period to implement the provisions of the Covenant. The Committee is grateful to the State party for its written replies (CCPR/C/KWT/Q/3/Add.1) to the list of issues (CCPR/C/KWT/Q/3), which were supplemented by the oral responses provided by the delegation.</w:t>
      </w:r>
    </w:p>
    <w:p w:rsidR="004F73BD" w:rsidRPr="004A42FB" w:rsidRDefault="004F73BD" w:rsidP="004F73BD">
      <w:pPr>
        <w:pStyle w:val="H1G"/>
        <w:rPr>
          <w:szCs w:val="24"/>
        </w:rPr>
      </w:pPr>
      <w:r w:rsidRPr="004A42FB">
        <w:rPr>
          <w:szCs w:val="24"/>
        </w:rPr>
        <w:tab/>
        <w:t>B.</w:t>
      </w:r>
      <w:r w:rsidRPr="004A42FB">
        <w:rPr>
          <w:szCs w:val="24"/>
        </w:rPr>
        <w:tab/>
        <w:t>Positive aspects</w:t>
      </w:r>
    </w:p>
    <w:p w:rsidR="004F73BD" w:rsidRPr="00CA1D56" w:rsidRDefault="00C94AA1" w:rsidP="00C94AA1">
      <w:pPr>
        <w:spacing w:after="120"/>
        <w:ind w:left="1134" w:right="1134" w:hanging="11"/>
        <w:jc w:val="both"/>
      </w:pPr>
      <w:r w:rsidRPr="00CA1D56">
        <w:t>3.</w:t>
      </w:r>
      <w:r w:rsidRPr="00CA1D56">
        <w:tab/>
      </w:r>
      <w:r w:rsidR="004F73BD" w:rsidRPr="00CA1D56">
        <w:t>The Committee welcomes the following legislative, institutional and policy measures taken by the State party:</w:t>
      </w:r>
    </w:p>
    <w:p w:rsidR="004F73BD" w:rsidRPr="00CA1D56" w:rsidRDefault="00C94AA1" w:rsidP="004F73BD">
      <w:pPr>
        <w:spacing w:after="120"/>
        <w:ind w:left="1134" w:right="1134"/>
        <w:jc w:val="both"/>
      </w:pPr>
      <w:r>
        <w:tab/>
      </w:r>
      <w:r w:rsidR="004F73BD" w:rsidRPr="00CA1D56">
        <w:t>(a)</w:t>
      </w:r>
      <w:r w:rsidR="004F73BD" w:rsidRPr="00CA1D56">
        <w:tab/>
        <w:t>The adoption of the Family Court Act, which provides for the establishment of family courts in each governorates and the creation of centres for the settlement of personal status disputes and the protection of victims;</w:t>
      </w:r>
    </w:p>
    <w:p w:rsidR="004F73BD" w:rsidRPr="00CA1D56" w:rsidRDefault="00C94AA1" w:rsidP="004F73BD">
      <w:pPr>
        <w:spacing w:after="120"/>
        <w:ind w:left="1134" w:right="1134"/>
        <w:jc w:val="both"/>
      </w:pPr>
      <w:r>
        <w:tab/>
      </w:r>
      <w:r w:rsidR="004F73BD" w:rsidRPr="00CA1D56">
        <w:t>(b)</w:t>
      </w:r>
      <w:r w:rsidR="004F73BD" w:rsidRPr="00CA1D56">
        <w:tab/>
        <w:t xml:space="preserve">The adoption of Act No. 21 (2015) concerning the rights of the child, which provides, </w:t>
      </w:r>
      <w:r w:rsidR="004F73BD" w:rsidRPr="00CA1D56">
        <w:rPr>
          <w:i/>
        </w:rPr>
        <w:t>inter alia,</w:t>
      </w:r>
      <w:r w:rsidR="004F73BD" w:rsidRPr="00CA1D56">
        <w:t xml:space="preserve"> for the protection of children from violence, abuse, neglect and </w:t>
      </w:r>
      <w:r w:rsidR="004F73BD" w:rsidRPr="00CA1D56">
        <w:lastRenderedPageBreak/>
        <w:t>exploitation, the establishment of child protection centres in each governorates, and the increase in the age of criminal responsibility from 7 to 15 years old;</w:t>
      </w:r>
    </w:p>
    <w:p w:rsidR="004F73BD" w:rsidRPr="00CA1D56" w:rsidRDefault="00C94AA1" w:rsidP="004F73BD">
      <w:pPr>
        <w:spacing w:after="120"/>
        <w:ind w:left="1134" w:right="1134"/>
        <w:jc w:val="both"/>
      </w:pPr>
      <w:r>
        <w:tab/>
      </w:r>
      <w:r w:rsidR="004F73BD" w:rsidRPr="00CA1D56">
        <w:t>(c)</w:t>
      </w:r>
      <w:r w:rsidR="004F73BD" w:rsidRPr="00CA1D56">
        <w:tab/>
        <w:t>The adoption of the Domestic Workers Law 68 (2015) giving domestic workers enforceable labour rights, the establishment in 2013 of a shelter for domestic workers who flee abusive employees and the adoption of Act No. 19 of 2013 providing for the establishment of the Public Authority for Manpower;</w:t>
      </w:r>
    </w:p>
    <w:p w:rsidR="00F92013" w:rsidRPr="00CA1D56" w:rsidRDefault="00C94AA1" w:rsidP="004F73BD">
      <w:pPr>
        <w:spacing w:after="120"/>
        <w:ind w:left="1134" w:right="1134"/>
        <w:jc w:val="both"/>
      </w:pPr>
      <w:r>
        <w:tab/>
      </w:r>
      <w:r w:rsidR="004F73BD" w:rsidRPr="00CA1D56">
        <w:t>(d)</w:t>
      </w:r>
      <w:r w:rsidR="004F73BD" w:rsidRPr="00CA1D56">
        <w:tab/>
        <w:t>The adoption of Law No. 91 (2013) on Prevention of Trafficking in Persons and Smuggling of Migrants, the opening in 2014 of a large-capacity shelter for domestic workers fleeing from abusive employers</w:t>
      </w:r>
      <w:r w:rsidR="00F92013" w:rsidRPr="00CA1D56">
        <w:t>;</w:t>
      </w:r>
      <w:r w:rsidR="00DC55DB">
        <w:t xml:space="preserve"> and</w:t>
      </w:r>
    </w:p>
    <w:p w:rsidR="004F73BD" w:rsidRPr="00CA1D56" w:rsidRDefault="00C94AA1" w:rsidP="004F73BD">
      <w:pPr>
        <w:spacing w:after="120"/>
        <w:ind w:left="1134" w:right="1134"/>
        <w:jc w:val="both"/>
      </w:pPr>
      <w:r>
        <w:tab/>
      </w:r>
      <w:r w:rsidR="00F92013" w:rsidRPr="00CA1D56">
        <w:t>(e) The adoption of Law No. 67 (2015) on the establishment of a national human rights institution (</w:t>
      </w:r>
      <w:proofErr w:type="spellStart"/>
      <w:r w:rsidR="00F92013" w:rsidRPr="00CA1D56">
        <w:t>Diwan</w:t>
      </w:r>
      <w:proofErr w:type="spellEnd"/>
      <w:r w:rsidR="00F92013" w:rsidRPr="00CA1D56">
        <w:t>)</w:t>
      </w:r>
      <w:r w:rsidR="004F73BD" w:rsidRPr="00CA1D56">
        <w:t xml:space="preserve">. </w:t>
      </w:r>
    </w:p>
    <w:p w:rsidR="004F73BD" w:rsidRPr="00CA1D56" w:rsidRDefault="00C94AA1" w:rsidP="00C94AA1">
      <w:pPr>
        <w:spacing w:after="120"/>
        <w:ind w:left="1134" w:right="1134" w:hanging="11"/>
        <w:jc w:val="both"/>
      </w:pPr>
      <w:r w:rsidRPr="00CA1D56">
        <w:t>4.</w:t>
      </w:r>
      <w:r w:rsidRPr="00CA1D56">
        <w:tab/>
      </w:r>
      <w:r w:rsidR="004F73BD" w:rsidRPr="00CA1D56">
        <w:t>The Committee also welcomes the accession by the State party to the Convention on the Rights of Persons with Disabilities, on 22 August 2013.</w:t>
      </w:r>
    </w:p>
    <w:p w:rsidR="004F73BD" w:rsidRPr="00CA1D56" w:rsidRDefault="00C94AA1" w:rsidP="00C94AA1">
      <w:pPr>
        <w:spacing w:after="120"/>
        <w:ind w:left="1134" w:right="1134" w:hanging="11"/>
        <w:jc w:val="both"/>
        <w:rPr>
          <w:i/>
        </w:rPr>
      </w:pPr>
      <w:r w:rsidRPr="00CA1D56">
        <w:t>5.</w:t>
      </w:r>
      <w:r w:rsidRPr="00CA1D56">
        <w:tab/>
      </w:r>
      <w:r w:rsidR="004F73BD" w:rsidRPr="00CA1D56">
        <w:t>The Committee also welcomes the State party’s withdrawal on 20 May 2016 of the first part of its reservation to article 25(b)</w:t>
      </w:r>
      <w:r w:rsidR="004F73BD" w:rsidRPr="00CA1D56">
        <w:rPr>
          <w:b/>
        </w:rPr>
        <w:t xml:space="preserve"> </w:t>
      </w:r>
      <w:r w:rsidR="004F73BD" w:rsidRPr="00CA1D56">
        <w:t>of the Covenant pertaining to the limitation of the right to vote and to be elected to men</w:t>
      </w:r>
      <w:r w:rsidR="004F73BD" w:rsidRPr="00CA1D56">
        <w:rPr>
          <w:i/>
        </w:rPr>
        <w:t>.</w:t>
      </w:r>
    </w:p>
    <w:p w:rsidR="004F73BD" w:rsidRPr="004A42FB" w:rsidRDefault="004F73BD" w:rsidP="004F73BD">
      <w:pPr>
        <w:pStyle w:val="H1G"/>
        <w:rPr>
          <w:szCs w:val="24"/>
        </w:rPr>
      </w:pPr>
      <w:r w:rsidRPr="004A42FB">
        <w:rPr>
          <w:szCs w:val="24"/>
        </w:rPr>
        <w:tab/>
        <w:t>C.</w:t>
      </w:r>
      <w:r w:rsidRPr="004A42FB">
        <w:rPr>
          <w:szCs w:val="24"/>
        </w:rPr>
        <w:tab/>
        <w:t>Principal matters of concern and recommendations</w:t>
      </w:r>
    </w:p>
    <w:p w:rsidR="004F73BD" w:rsidRPr="00CA1D56" w:rsidRDefault="004F73BD" w:rsidP="004F73BD">
      <w:pPr>
        <w:pStyle w:val="H23G"/>
      </w:pPr>
      <w:r w:rsidRPr="00CA1D56">
        <w:tab/>
      </w:r>
      <w:r w:rsidRPr="00CA1D56">
        <w:tab/>
        <w:t xml:space="preserve">Domestic applicability of the Covenant </w:t>
      </w:r>
    </w:p>
    <w:p w:rsidR="004F73BD" w:rsidRPr="00CA1D56" w:rsidRDefault="00C94AA1" w:rsidP="00C94AA1">
      <w:pPr>
        <w:spacing w:after="120"/>
        <w:ind w:left="1134" w:right="1134" w:hanging="11"/>
        <w:jc w:val="both"/>
      </w:pPr>
      <w:r w:rsidRPr="00CA1D56">
        <w:t>6.</w:t>
      </w:r>
      <w:r w:rsidRPr="00CA1D56">
        <w:tab/>
      </w:r>
      <w:r w:rsidR="004F73BD" w:rsidRPr="00CA1D56">
        <w:t xml:space="preserve">While noting that the provisions of the Covenant are directly applicable in the domestic legal and judicial system of Kuwait, the Committee is concerned about the primacy of Sharia law over conflicting or contradictory provisions of the Covenant (art. 2). </w:t>
      </w:r>
    </w:p>
    <w:p w:rsidR="004F73BD" w:rsidRPr="00CA1D56" w:rsidRDefault="00C94AA1" w:rsidP="00C94AA1">
      <w:pPr>
        <w:spacing w:after="120"/>
        <w:ind w:left="1134" w:right="1134" w:hanging="11"/>
        <w:jc w:val="both"/>
        <w:rPr>
          <w:b/>
        </w:rPr>
      </w:pPr>
      <w:r w:rsidRPr="00BC5F20">
        <w:t>7.</w:t>
      </w:r>
      <w:r w:rsidRPr="00BC5F20">
        <w:tab/>
      </w:r>
      <w:r w:rsidR="004F73BD" w:rsidRPr="00CA1D56">
        <w:rPr>
          <w:b/>
          <w:bCs/>
        </w:rPr>
        <w:t xml:space="preserve">The State party should give full legal effect to the Covenant in its domestic legal order and ensure that domestic laws, including those based on Sharia, are interpreted and applied in ways compatible with its obligations under the Covenant. </w:t>
      </w:r>
      <w:r w:rsidR="004F73BD" w:rsidRPr="00CA1D56">
        <w:rPr>
          <w:b/>
        </w:rPr>
        <w:t xml:space="preserve">It should also raise awareness about the Covenant amongst judges and judicial officers. </w:t>
      </w:r>
    </w:p>
    <w:p w:rsidR="004F73BD" w:rsidRPr="00CA1D56" w:rsidRDefault="004F73BD" w:rsidP="004F73BD">
      <w:pPr>
        <w:pStyle w:val="SingleTxtG"/>
        <w:rPr>
          <w:b/>
        </w:rPr>
      </w:pPr>
      <w:r w:rsidRPr="00CA1D56">
        <w:rPr>
          <w:b/>
        </w:rPr>
        <w:t>Interpretative declaration and reservations to the Covenant</w:t>
      </w:r>
    </w:p>
    <w:p w:rsidR="004F73BD" w:rsidRPr="00CA1D56" w:rsidRDefault="00C94AA1" w:rsidP="00C94AA1">
      <w:pPr>
        <w:spacing w:after="120"/>
        <w:ind w:left="1134" w:right="1134" w:hanging="11"/>
        <w:jc w:val="both"/>
      </w:pPr>
      <w:r w:rsidRPr="00CA1D56">
        <w:t>8.</w:t>
      </w:r>
      <w:r w:rsidRPr="00CA1D56">
        <w:tab/>
      </w:r>
      <w:r w:rsidR="004F73BD" w:rsidRPr="00CA1D56">
        <w:t xml:space="preserve">The Committee remains concerned that the State party maintains its interpretative declaration on article 2, paragraph 1 and article 3 of the Covenant, which the Committee </w:t>
      </w:r>
      <w:r w:rsidR="00B47957" w:rsidRPr="00CA1D56">
        <w:t xml:space="preserve">has </w:t>
      </w:r>
      <w:r w:rsidR="004F73BD" w:rsidRPr="00CA1D56">
        <w:t xml:space="preserve">repeatedly found to be incompatible with the object and purpose of the Covenant (CCPR/CO/69/KWT, para. 4 and CCPR/C/KWT/CO/2, para. 7), and regrets that it has not yet withdrawn its interpretative declaration to article 23, and the totality of its reservation to article 25(b) of the Covenant (art. 2).  </w:t>
      </w:r>
    </w:p>
    <w:p w:rsidR="004F73BD" w:rsidRPr="00CA1D56" w:rsidRDefault="00C94AA1" w:rsidP="00C94AA1">
      <w:pPr>
        <w:spacing w:after="120"/>
        <w:ind w:left="1134" w:right="1134" w:hanging="11"/>
        <w:jc w:val="both"/>
        <w:rPr>
          <w:b/>
        </w:rPr>
      </w:pPr>
      <w:r w:rsidRPr="00BC5F20">
        <w:t>9.</w:t>
      </w:r>
      <w:r w:rsidRPr="00BC5F20">
        <w:tab/>
      </w:r>
      <w:r w:rsidR="004F73BD" w:rsidRPr="00CA1D56">
        <w:rPr>
          <w:b/>
        </w:rPr>
        <w:t xml:space="preserve">The State party should withdraw its interpretative declarations on article 2, paragraph 1, article 3, and </w:t>
      </w:r>
      <w:r w:rsidR="005E59E6" w:rsidRPr="00CA1D56">
        <w:rPr>
          <w:b/>
        </w:rPr>
        <w:t xml:space="preserve">consider withdrawing its interpretative declarations on </w:t>
      </w:r>
      <w:r w:rsidR="004F73BD" w:rsidRPr="00CA1D56">
        <w:rPr>
          <w:b/>
        </w:rPr>
        <w:t>article 23 and its reservation to article 25(b) of the Covenant</w:t>
      </w:r>
      <w:r w:rsidR="005E59E6" w:rsidRPr="00CA1D56">
        <w:rPr>
          <w:b/>
        </w:rPr>
        <w:t>,</w:t>
      </w:r>
      <w:r w:rsidR="004F73BD" w:rsidRPr="00CA1D56">
        <w:rPr>
          <w:b/>
        </w:rPr>
        <w:t xml:space="preserve"> with a view to ensuring the effective application of the Covenant.</w:t>
      </w:r>
    </w:p>
    <w:p w:rsidR="004F73BD" w:rsidRPr="00CA1D56" w:rsidRDefault="004F73BD" w:rsidP="004F73BD">
      <w:pPr>
        <w:spacing w:after="120"/>
        <w:ind w:left="1134" w:right="1134"/>
        <w:jc w:val="both"/>
        <w:rPr>
          <w:b/>
          <w:bCs/>
        </w:rPr>
      </w:pPr>
      <w:r w:rsidRPr="00CA1D56">
        <w:rPr>
          <w:b/>
          <w:bCs/>
        </w:rPr>
        <w:t>Discrimination against “</w:t>
      </w:r>
      <w:proofErr w:type="spellStart"/>
      <w:r w:rsidRPr="00CA1D56">
        <w:rPr>
          <w:b/>
          <w:bCs/>
        </w:rPr>
        <w:t>Bidoon</w:t>
      </w:r>
      <w:proofErr w:type="spellEnd"/>
      <w:r w:rsidRPr="00CA1D56">
        <w:rPr>
          <w:b/>
          <w:bCs/>
        </w:rPr>
        <w:t xml:space="preserve">” </w:t>
      </w:r>
    </w:p>
    <w:p w:rsidR="004F73BD" w:rsidRPr="00CA1D56" w:rsidRDefault="00C94AA1" w:rsidP="00C94AA1">
      <w:pPr>
        <w:spacing w:after="120"/>
        <w:ind w:left="1134" w:right="1134" w:hanging="11"/>
        <w:jc w:val="both"/>
      </w:pPr>
      <w:r w:rsidRPr="00CA1D56">
        <w:t>10.</w:t>
      </w:r>
      <w:r w:rsidRPr="00CA1D56">
        <w:tab/>
      </w:r>
      <w:r w:rsidR="001E5437" w:rsidRPr="00CA1D56">
        <w:t>The Committee notes</w:t>
      </w:r>
      <w:r w:rsidR="004F73BD" w:rsidRPr="00CA1D56">
        <w:t xml:space="preserve"> steps taken to </w:t>
      </w:r>
      <w:r w:rsidR="001E5437" w:rsidRPr="00CA1D56">
        <w:t>regularize the status of</w:t>
      </w:r>
      <w:r w:rsidR="004F73BD" w:rsidRPr="00CA1D56">
        <w:t xml:space="preserve"> stateless “</w:t>
      </w:r>
      <w:proofErr w:type="spellStart"/>
      <w:r w:rsidR="004F73BD" w:rsidRPr="00CA1D56">
        <w:t>Bidoon</w:t>
      </w:r>
      <w:proofErr w:type="spellEnd"/>
      <w:r w:rsidR="004F73BD" w:rsidRPr="00CA1D56">
        <w:t xml:space="preserve">” </w:t>
      </w:r>
      <w:r w:rsidR="001E5437" w:rsidRPr="00CA1D56">
        <w:t xml:space="preserve">currently viewed by the State party as a category of “illegal residents,” including by granting the Kuwaiti nationality to some of them, registering a number of them, and providing access to social services for a large number of them. It is concerned, however: </w:t>
      </w:r>
      <w:r w:rsidR="004F73BD" w:rsidRPr="00CA1D56">
        <w:t xml:space="preserve">(a) </w:t>
      </w:r>
      <w:r w:rsidR="001E5437" w:rsidRPr="00CA1D56">
        <w:t>that the process of granting Kuwaiti citizenship to “</w:t>
      </w:r>
      <w:proofErr w:type="spellStart"/>
      <w:r w:rsidR="001E5437" w:rsidRPr="00CA1D56">
        <w:t>Bidoon</w:t>
      </w:r>
      <w:proofErr w:type="spellEnd"/>
      <w:r w:rsidR="001E5437" w:rsidRPr="00CA1D56">
        <w:t xml:space="preserve">” is slow; </w:t>
      </w:r>
      <w:r w:rsidR="004F73BD" w:rsidRPr="00CA1D56">
        <w:t>(b) at the situation of  stateless “</w:t>
      </w:r>
      <w:proofErr w:type="spellStart"/>
      <w:r w:rsidR="004F73BD" w:rsidRPr="00CA1D56">
        <w:t>Bidoon</w:t>
      </w:r>
      <w:proofErr w:type="spellEnd"/>
      <w:r w:rsidR="004F73BD" w:rsidRPr="00CA1D56">
        <w:t>” who remain unregistered and are not able to obtain civil documentation and access to adequate social services; (c) that “</w:t>
      </w:r>
      <w:proofErr w:type="spellStart"/>
      <w:r w:rsidR="004F73BD" w:rsidRPr="00CA1D56">
        <w:t>Bidoon</w:t>
      </w:r>
      <w:proofErr w:type="spellEnd"/>
      <w:r w:rsidR="004F73BD" w:rsidRPr="00CA1D56">
        <w:t xml:space="preserve">” face restrictions in their freedom of movement, peaceful assembly, opinion and expression; and (d) </w:t>
      </w:r>
      <w:r w:rsidR="001E5437" w:rsidRPr="00CA1D56">
        <w:t xml:space="preserve">that </w:t>
      </w:r>
      <w:r w:rsidR="004F73BD" w:rsidRPr="00CA1D56">
        <w:t xml:space="preserve">the </w:t>
      </w:r>
      <w:r w:rsidR="001E5437" w:rsidRPr="00CA1D56">
        <w:t xml:space="preserve">State party </w:t>
      </w:r>
      <w:r w:rsidR="001E5437" w:rsidRPr="00CA1D56">
        <w:lastRenderedPageBreak/>
        <w:t xml:space="preserve">considers offering them </w:t>
      </w:r>
      <w:r w:rsidR="004F73BD" w:rsidRPr="00CA1D56">
        <w:t xml:space="preserve">the “economic citizenship” of another country in exchange of a permanent residence in Kuwait </w:t>
      </w:r>
      <w:r w:rsidR="004F73BD" w:rsidRPr="00CA1D56">
        <w:rPr>
          <w:bCs/>
        </w:rPr>
        <w:t xml:space="preserve">(arts. </w:t>
      </w:r>
      <w:r w:rsidR="004F73BD" w:rsidRPr="00CA1D56">
        <w:t>2, 12, 23, 24, 26 and 27</w:t>
      </w:r>
      <w:r w:rsidR="004F73BD" w:rsidRPr="00CA1D56">
        <w:rPr>
          <w:bCs/>
        </w:rPr>
        <w:t>).</w:t>
      </w:r>
    </w:p>
    <w:p w:rsidR="004F73BD" w:rsidRPr="00CA1D56" w:rsidRDefault="00C94AA1" w:rsidP="00C94AA1">
      <w:pPr>
        <w:spacing w:after="120"/>
        <w:ind w:left="1134" w:right="1134" w:hanging="11"/>
        <w:jc w:val="both"/>
        <w:rPr>
          <w:b/>
          <w:bCs/>
        </w:rPr>
      </w:pPr>
      <w:r w:rsidRPr="00BC5F20">
        <w:rPr>
          <w:bCs/>
        </w:rPr>
        <w:t>11.</w:t>
      </w:r>
      <w:r w:rsidRPr="00BC5F20">
        <w:rPr>
          <w:bCs/>
        </w:rPr>
        <w:tab/>
      </w:r>
      <w:r w:rsidR="004F73BD" w:rsidRPr="00CA1D56">
        <w:rPr>
          <w:b/>
          <w:bCs/>
        </w:rPr>
        <w:t xml:space="preserve">The State party should: (a) speed up the </w:t>
      </w:r>
      <w:r w:rsidR="00D32611" w:rsidRPr="00CA1D56">
        <w:rPr>
          <w:b/>
          <w:bCs/>
        </w:rPr>
        <w:t>process of granting Kuwaiti citizenship to “</w:t>
      </w:r>
      <w:proofErr w:type="spellStart"/>
      <w:r w:rsidR="00D32611" w:rsidRPr="00CA1D56">
        <w:rPr>
          <w:b/>
          <w:bCs/>
        </w:rPr>
        <w:t>Bidoon</w:t>
      </w:r>
      <w:proofErr w:type="spellEnd"/>
      <w:r w:rsidR="00D32611" w:rsidRPr="00CA1D56">
        <w:rPr>
          <w:b/>
          <w:bCs/>
        </w:rPr>
        <w:t>”</w:t>
      </w:r>
      <w:r w:rsidR="001C7D5E">
        <w:rPr>
          <w:b/>
          <w:bCs/>
        </w:rPr>
        <w:t>, where appropriate</w:t>
      </w:r>
      <w:r w:rsidR="004F73BD" w:rsidRPr="00CA1D56">
        <w:rPr>
          <w:b/>
          <w:bCs/>
        </w:rPr>
        <w:t>;  (</w:t>
      </w:r>
      <w:r w:rsidR="00D272AA" w:rsidRPr="00CA1D56">
        <w:rPr>
          <w:b/>
          <w:bCs/>
        </w:rPr>
        <w:t>b</w:t>
      </w:r>
      <w:r w:rsidR="004F73BD" w:rsidRPr="00CA1D56">
        <w:rPr>
          <w:b/>
          <w:bCs/>
        </w:rPr>
        <w:t xml:space="preserve">) </w:t>
      </w:r>
      <w:r w:rsidR="00D272AA" w:rsidRPr="00CA1D56">
        <w:rPr>
          <w:b/>
          <w:bCs/>
        </w:rPr>
        <w:t xml:space="preserve">guarantee the right of every child to acquire a nationality; (c) </w:t>
      </w:r>
      <w:r w:rsidR="00D32611" w:rsidRPr="00CA1D56">
        <w:rPr>
          <w:b/>
          <w:bCs/>
        </w:rPr>
        <w:t xml:space="preserve">register and </w:t>
      </w:r>
      <w:r w:rsidR="004F73BD" w:rsidRPr="00CA1D56">
        <w:rPr>
          <w:b/>
          <w:bCs/>
        </w:rPr>
        <w:t xml:space="preserve">provide </w:t>
      </w:r>
      <w:r w:rsidR="00D272AA" w:rsidRPr="00CA1D56">
        <w:rPr>
          <w:b/>
          <w:bCs/>
        </w:rPr>
        <w:t xml:space="preserve">non-discriminatory </w:t>
      </w:r>
      <w:r w:rsidR="00D32611" w:rsidRPr="00CA1D56">
        <w:rPr>
          <w:b/>
          <w:bCs/>
        </w:rPr>
        <w:t>access to social services to all “</w:t>
      </w:r>
      <w:proofErr w:type="spellStart"/>
      <w:r w:rsidR="00D32611" w:rsidRPr="00CA1D56">
        <w:rPr>
          <w:b/>
          <w:bCs/>
        </w:rPr>
        <w:t>Bidoon</w:t>
      </w:r>
      <w:proofErr w:type="spellEnd"/>
      <w:r w:rsidR="00D32611" w:rsidRPr="00CA1D56">
        <w:rPr>
          <w:b/>
          <w:bCs/>
        </w:rPr>
        <w:t xml:space="preserve">” residing in Kuwait; </w:t>
      </w:r>
      <w:r w:rsidR="004F73BD" w:rsidRPr="00CA1D56">
        <w:rPr>
          <w:b/>
          <w:bCs/>
        </w:rPr>
        <w:t>(</w:t>
      </w:r>
      <w:r w:rsidR="00D272AA" w:rsidRPr="00CA1D56">
        <w:rPr>
          <w:b/>
          <w:bCs/>
        </w:rPr>
        <w:t>d</w:t>
      </w:r>
      <w:r w:rsidR="004F73BD" w:rsidRPr="00CA1D56">
        <w:rPr>
          <w:b/>
          <w:bCs/>
        </w:rPr>
        <w:t xml:space="preserve">) ensure that </w:t>
      </w:r>
      <w:r w:rsidR="00D32611" w:rsidRPr="00CA1D56">
        <w:rPr>
          <w:b/>
          <w:bCs/>
        </w:rPr>
        <w:t>“</w:t>
      </w:r>
      <w:proofErr w:type="spellStart"/>
      <w:r w:rsidR="00D32611" w:rsidRPr="00CA1D56">
        <w:rPr>
          <w:b/>
          <w:bCs/>
        </w:rPr>
        <w:t>Bidoon</w:t>
      </w:r>
      <w:proofErr w:type="spellEnd"/>
      <w:r w:rsidR="00D32611" w:rsidRPr="00CA1D56">
        <w:rPr>
          <w:b/>
          <w:bCs/>
        </w:rPr>
        <w:t>” enjoy their right to freedom of movement, peaceful assembly, opinion and expression; (</w:t>
      </w:r>
      <w:r w:rsidR="00D272AA" w:rsidRPr="00CA1D56">
        <w:rPr>
          <w:b/>
          <w:bCs/>
        </w:rPr>
        <w:t>e</w:t>
      </w:r>
      <w:r w:rsidR="00D32611" w:rsidRPr="00CA1D56">
        <w:rPr>
          <w:b/>
          <w:bCs/>
        </w:rPr>
        <w:t>) set aside plans to offer “</w:t>
      </w:r>
      <w:proofErr w:type="spellStart"/>
      <w:r w:rsidR="00D32611" w:rsidRPr="00CA1D56">
        <w:rPr>
          <w:b/>
          <w:bCs/>
        </w:rPr>
        <w:t>Bidoon</w:t>
      </w:r>
      <w:proofErr w:type="spellEnd"/>
      <w:r w:rsidR="00D32611" w:rsidRPr="00CA1D56">
        <w:rPr>
          <w:b/>
          <w:bCs/>
        </w:rPr>
        <w:t>” the “economic citizenship” of another country in exchange of a permanent residence in Kuwait</w:t>
      </w:r>
      <w:r w:rsidR="00EB4F56" w:rsidRPr="00CA1D56">
        <w:rPr>
          <w:b/>
          <w:bCs/>
        </w:rPr>
        <w:t xml:space="preserve">, </w:t>
      </w:r>
      <w:r w:rsidR="002E492C" w:rsidRPr="00CA1D56">
        <w:rPr>
          <w:b/>
          <w:bCs/>
        </w:rPr>
        <w:t xml:space="preserve">and </w:t>
      </w:r>
      <w:r w:rsidR="00EB4F56" w:rsidRPr="00CA1D56">
        <w:rPr>
          <w:b/>
          <w:bCs/>
        </w:rPr>
        <w:t>(</w:t>
      </w:r>
      <w:r w:rsidR="0080337E">
        <w:rPr>
          <w:b/>
          <w:bCs/>
        </w:rPr>
        <w:t>e</w:t>
      </w:r>
      <w:r w:rsidR="00EB4F56" w:rsidRPr="00CA1D56">
        <w:rPr>
          <w:b/>
          <w:bCs/>
        </w:rPr>
        <w:t xml:space="preserve">) </w:t>
      </w:r>
      <w:r w:rsidR="001C7D5E">
        <w:rPr>
          <w:b/>
          <w:bCs/>
        </w:rPr>
        <w:t xml:space="preserve">consider </w:t>
      </w:r>
      <w:r w:rsidR="00EB4F56" w:rsidRPr="00CA1D56">
        <w:rPr>
          <w:b/>
          <w:bCs/>
        </w:rPr>
        <w:t>acced</w:t>
      </w:r>
      <w:r w:rsidR="001C7D5E">
        <w:rPr>
          <w:b/>
          <w:bCs/>
        </w:rPr>
        <w:t>ing</w:t>
      </w:r>
      <w:r w:rsidR="00EB4F56" w:rsidRPr="00CA1D56">
        <w:rPr>
          <w:b/>
          <w:bCs/>
        </w:rPr>
        <w:t xml:space="preserve"> to the 1954 Convention on the Status of Statelessness Persons and to the 1961 Convention on the Reduction of Statelessness</w:t>
      </w:r>
      <w:r w:rsidR="00A348BE" w:rsidRPr="00CA1D56">
        <w:rPr>
          <w:b/>
          <w:bCs/>
        </w:rPr>
        <w:t xml:space="preserve"> </w:t>
      </w:r>
      <w:r w:rsidR="00B47957" w:rsidRPr="00CA1D56">
        <w:rPr>
          <w:b/>
          <w:bCs/>
        </w:rPr>
        <w:t xml:space="preserve">and </w:t>
      </w:r>
      <w:r w:rsidR="001C7D5E">
        <w:rPr>
          <w:b/>
          <w:bCs/>
        </w:rPr>
        <w:t xml:space="preserve">having the related </w:t>
      </w:r>
      <w:r w:rsidR="00B47957" w:rsidRPr="00CA1D56">
        <w:rPr>
          <w:b/>
          <w:bCs/>
        </w:rPr>
        <w:t>obligations implemented into the State party’s domestic law</w:t>
      </w:r>
      <w:r w:rsidR="00D32611" w:rsidRPr="00CA1D56">
        <w:rPr>
          <w:b/>
          <w:bCs/>
        </w:rPr>
        <w:t xml:space="preserve">. </w:t>
      </w:r>
    </w:p>
    <w:p w:rsidR="004F73BD" w:rsidRPr="00CA1D56" w:rsidRDefault="004F73BD" w:rsidP="004F73BD">
      <w:pPr>
        <w:pStyle w:val="SingleTxtG"/>
        <w:rPr>
          <w:b/>
        </w:rPr>
      </w:pPr>
      <w:r w:rsidRPr="00CA1D56">
        <w:rPr>
          <w:b/>
        </w:rPr>
        <w:t>Discrimination and violence on the grounds of sexual orientation and gender identity</w:t>
      </w:r>
    </w:p>
    <w:p w:rsidR="004F73BD" w:rsidRPr="00CA1D56" w:rsidRDefault="00C94AA1" w:rsidP="00C94AA1">
      <w:pPr>
        <w:spacing w:after="120"/>
        <w:ind w:left="1134" w:right="1134" w:hanging="11"/>
        <w:jc w:val="both"/>
      </w:pPr>
      <w:r w:rsidRPr="00CA1D56">
        <w:t>12.</w:t>
      </w:r>
      <w:r w:rsidRPr="00CA1D56">
        <w:tab/>
      </w:r>
      <w:r w:rsidR="004F73BD" w:rsidRPr="00CA1D56">
        <w:t xml:space="preserve">While the Committee </w:t>
      </w:r>
      <w:r w:rsidR="005E59E6" w:rsidRPr="00CA1D56">
        <w:t xml:space="preserve">respects </w:t>
      </w:r>
      <w:r w:rsidR="004F73BD" w:rsidRPr="00CA1D56">
        <w:t xml:space="preserve">the diversity of </w:t>
      </w:r>
      <w:r w:rsidR="005E59E6" w:rsidRPr="00CA1D56">
        <w:t xml:space="preserve">views on </w:t>
      </w:r>
      <w:r w:rsidR="004F73BD" w:rsidRPr="00CA1D56">
        <w:t xml:space="preserve">morality </w:t>
      </w:r>
      <w:r w:rsidR="005E59E6" w:rsidRPr="00CA1D56">
        <w:t xml:space="preserve">across different international </w:t>
      </w:r>
      <w:r w:rsidR="004F73BD" w:rsidRPr="00CA1D56">
        <w:t xml:space="preserve">cultures, it recalls that </w:t>
      </w:r>
      <w:r w:rsidR="005E59E6" w:rsidRPr="00CA1D56">
        <w:t xml:space="preserve">State laws and practices </w:t>
      </w:r>
      <w:r w:rsidR="004F73BD" w:rsidRPr="00CA1D56">
        <w:t xml:space="preserve">must always be subject to the principles of universality of human rights and non-discrimination. </w:t>
      </w:r>
      <w:r w:rsidR="00F92013" w:rsidRPr="00CA1D56">
        <w:t xml:space="preserve">Bearing </w:t>
      </w:r>
      <w:r w:rsidR="004F73BD" w:rsidRPr="00CA1D56">
        <w:t xml:space="preserve">this in mind, the Committee expresses its concern about the criminalization of same-sex sexual activity among consenting adults and about the vague offence of “imitating members of the opposite sex”. It is also concerned about reports of harassment, arbitrary arrest and detention, acts of violence, abuse, torture and sexual assault against persons on the basis of their real or perceived sexual orientation or gender identity (arts. 2, 6, 7, </w:t>
      </w:r>
      <w:r w:rsidR="00D272AA" w:rsidRPr="00CA1D56">
        <w:t xml:space="preserve">9, </w:t>
      </w:r>
      <w:r w:rsidR="004F73BD" w:rsidRPr="00CA1D56">
        <w:t>17</w:t>
      </w:r>
      <w:r w:rsidR="00D272AA" w:rsidRPr="00CA1D56">
        <w:t xml:space="preserve"> </w:t>
      </w:r>
      <w:r w:rsidR="004F73BD" w:rsidRPr="00CA1D56">
        <w:t xml:space="preserve">and 26). </w:t>
      </w:r>
    </w:p>
    <w:p w:rsidR="004F73BD" w:rsidRPr="00CA1D56" w:rsidRDefault="00C94AA1" w:rsidP="00C94AA1">
      <w:pPr>
        <w:spacing w:after="120"/>
        <w:ind w:left="1134" w:right="1134" w:hanging="11"/>
        <w:jc w:val="both"/>
        <w:rPr>
          <w:b/>
        </w:rPr>
      </w:pPr>
      <w:r w:rsidRPr="00AA348E">
        <w:t>13.</w:t>
      </w:r>
      <w:r w:rsidRPr="00AA348E">
        <w:tab/>
      </w:r>
      <w:r w:rsidR="004F73BD" w:rsidRPr="00AA348E">
        <w:rPr>
          <w:b/>
        </w:rPr>
        <w:t xml:space="preserve">The </w:t>
      </w:r>
      <w:r w:rsidR="003F2061" w:rsidRPr="00AA348E">
        <w:rPr>
          <w:b/>
        </w:rPr>
        <w:t>State party</w:t>
      </w:r>
      <w:r w:rsidR="004F73BD" w:rsidRPr="00AA348E">
        <w:rPr>
          <w:b/>
        </w:rPr>
        <w:t xml:space="preserve"> should </w:t>
      </w:r>
      <w:r w:rsidR="00F92013" w:rsidRPr="00AA348E">
        <w:rPr>
          <w:b/>
        </w:rPr>
        <w:t xml:space="preserve">take </w:t>
      </w:r>
      <w:r w:rsidR="0095622A" w:rsidRPr="00AA348E">
        <w:rPr>
          <w:b/>
        </w:rPr>
        <w:t xml:space="preserve">the necessary measures </w:t>
      </w:r>
      <w:r w:rsidR="00F92013" w:rsidRPr="00AA348E">
        <w:rPr>
          <w:b/>
        </w:rPr>
        <w:t xml:space="preserve">to </w:t>
      </w:r>
      <w:r w:rsidR="004F73BD" w:rsidRPr="00AA348E">
        <w:rPr>
          <w:b/>
        </w:rPr>
        <w:t>decriminalize sexual</w:t>
      </w:r>
      <w:r w:rsidR="004F73BD" w:rsidRPr="00CA1D56">
        <w:rPr>
          <w:b/>
        </w:rPr>
        <w:t xml:space="preserve"> relations between consenting adults of the same sex, and repeal the offence of imitating the opposite sex, in order to bring its legislation in line with the Covenant. It should also take </w:t>
      </w:r>
      <w:r w:rsidR="002E492C" w:rsidRPr="00CA1D56">
        <w:rPr>
          <w:b/>
        </w:rPr>
        <w:t>measures</w:t>
      </w:r>
      <w:r w:rsidR="004F73BD" w:rsidRPr="00CA1D56">
        <w:rPr>
          <w:b/>
        </w:rPr>
        <w:t xml:space="preserve"> to put an end to the social stigmatization of homosexuality, harassment, discrimination or violence against persons based on their real or perceived sexual orientation or gender identity.</w:t>
      </w:r>
    </w:p>
    <w:p w:rsidR="004F73BD" w:rsidRPr="00CA1D56" w:rsidRDefault="004F73BD" w:rsidP="004F73BD">
      <w:pPr>
        <w:pStyle w:val="SingleTxtG"/>
        <w:rPr>
          <w:b/>
        </w:rPr>
      </w:pPr>
      <w:r w:rsidRPr="00CA1D56">
        <w:rPr>
          <w:b/>
        </w:rPr>
        <w:t xml:space="preserve">Non-discrimination and equality between men and women </w:t>
      </w:r>
    </w:p>
    <w:p w:rsidR="004F73BD" w:rsidRPr="00CA1D56" w:rsidRDefault="00C94AA1" w:rsidP="00C94AA1">
      <w:pPr>
        <w:spacing w:after="120"/>
        <w:ind w:left="1134" w:right="1134" w:hanging="11"/>
        <w:jc w:val="both"/>
      </w:pPr>
      <w:r w:rsidRPr="00CA1D56">
        <w:t>14.</w:t>
      </w:r>
      <w:r w:rsidRPr="00CA1D56">
        <w:tab/>
      </w:r>
      <w:r w:rsidR="004F73BD" w:rsidRPr="00CA1D56">
        <w:t>The committee regrets the lack of progress in repealing discriminatory provisions against women such as those contained in the Personal S</w:t>
      </w:r>
      <w:r w:rsidR="00DC55DB">
        <w:t>tatus Law and the Nationality L</w:t>
      </w:r>
      <w:r w:rsidR="004F73BD" w:rsidRPr="00CA1D56">
        <w:t xml:space="preserve">aw, including in such matters as polygamy, minimum age of marriage, contracting to marriage, divorce, parental authority, inheritance, status of women’s testimony before courts compared to that of men, and the </w:t>
      </w:r>
      <w:r w:rsidR="00B47957" w:rsidRPr="00CA1D56">
        <w:t>ability of</w:t>
      </w:r>
      <w:r w:rsidR="004F73BD" w:rsidRPr="00CA1D56">
        <w:t xml:space="preserve"> Kuwaiti women to pass on their nationality to their children and foreign spouses on an equal footing with Kuwaiti men  (arts. 2, 3, 14, 23, 24 and 26).</w:t>
      </w:r>
    </w:p>
    <w:p w:rsidR="004F73BD" w:rsidRPr="00CA1D56" w:rsidRDefault="00C94AA1" w:rsidP="00C94AA1">
      <w:pPr>
        <w:spacing w:after="120"/>
        <w:ind w:left="1134" w:right="1134" w:hanging="11"/>
        <w:jc w:val="both"/>
        <w:rPr>
          <w:b/>
        </w:rPr>
      </w:pPr>
      <w:r w:rsidRPr="00BC5F20">
        <w:t>15.</w:t>
      </w:r>
      <w:r w:rsidRPr="00BC5F20">
        <w:tab/>
      </w:r>
      <w:r w:rsidR="004F73BD" w:rsidRPr="00CA1D56">
        <w:rPr>
          <w:b/>
        </w:rPr>
        <w:t xml:space="preserve">The State party should: (a) undertake a comprehensive review of existing laws to repeal or amend, in accordance with the Covenant, all discriminatory provisions that affect gender equality; (b) take appropriate measures to enhance and promote equality; (c) adopt measures to prevent early and forced marriages, including by setting a minimum age for marriage that complies with international standards and making the signature of a marriage contract by both spouses mandatory. </w:t>
      </w:r>
    </w:p>
    <w:p w:rsidR="004F73BD" w:rsidRPr="00CA1D56" w:rsidRDefault="004F73BD" w:rsidP="004F73BD">
      <w:pPr>
        <w:pStyle w:val="SingleTxtG"/>
        <w:rPr>
          <w:b/>
          <w:bCs/>
        </w:rPr>
      </w:pPr>
      <w:r w:rsidRPr="00CA1D56">
        <w:rPr>
          <w:b/>
          <w:bCs/>
        </w:rPr>
        <w:t>Representation of women in political and public life</w:t>
      </w:r>
    </w:p>
    <w:p w:rsidR="004F73BD" w:rsidRPr="00CA1D56" w:rsidRDefault="00C94AA1" w:rsidP="00C94AA1">
      <w:pPr>
        <w:spacing w:after="120"/>
        <w:ind w:left="1134" w:right="1134" w:hanging="11"/>
        <w:jc w:val="both"/>
      </w:pPr>
      <w:r w:rsidRPr="00CA1D56">
        <w:t>16.</w:t>
      </w:r>
      <w:r w:rsidRPr="00CA1D56">
        <w:tab/>
      </w:r>
      <w:r w:rsidR="004F73BD" w:rsidRPr="00CA1D56">
        <w:t xml:space="preserve">The Committee is concerned at the very low level of representation of women in legislative and executive bodies. While welcoming the appointment of 22 </w:t>
      </w:r>
      <w:r w:rsidR="00B47957" w:rsidRPr="00CA1D56">
        <w:t>women</w:t>
      </w:r>
      <w:r w:rsidR="004F73BD" w:rsidRPr="00CA1D56">
        <w:t xml:space="preserve"> as prosecuting attorneys, the Committee is concerned at the suspension of women’s applications for prosecutor positions and </w:t>
      </w:r>
      <w:r w:rsidR="00DC55DB">
        <w:t xml:space="preserve">the </w:t>
      </w:r>
      <w:r w:rsidR="004F73BD" w:rsidRPr="00CA1D56">
        <w:t xml:space="preserve">low </w:t>
      </w:r>
      <w:r w:rsidR="00D272AA" w:rsidRPr="00CA1D56">
        <w:t xml:space="preserve">number </w:t>
      </w:r>
      <w:r w:rsidR="004F73BD" w:rsidRPr="00CA1D56">
        <w:t xml:space="preserve">of women in the judiciary (arts. </w:t>
      </w:r>
      <w:r w:rsidR="00B47957" w:rsidRPr="00CA1D56">
        <w:t xml:space="preserve">2, </w:t>
      </w:r>
      <w:r w:rsidR="004F73BD" w:rsidRPr="00CA1D56">
        <w:t>3</w:t>
      </w:r>
      <w:r w:rsidR="00B47957" w:rsidRPr="00CA1D56">
        <w:t>, 25</w:t>
      </w:r>
      <w:r w:rsidR="004F73BD" w:rsidRPr="00CA1D56">
        <w:t xml:space="preserve"> and 26).</w:t>
      </w:r>
    </w:p>
    <w:p w:rsidR="004F73BD" w:rsidRPr="00CA1D56" w:rsidRDefault="00C94AA1" w:rsidP="00C94AA1">
      <w:pPr>
        <w:spacing w:after="120"/>
        <w:ind w:left="1134" w:right="1134" w:hanging="11"/>
        <w:jc w:val="both"/>
        <w:rPr>
          <w:b/>
        </w:rPr>
      </w:pPr>
      <w:r w:rsidRPr="00BC5F20">
        <w:t>17.</w:t>
      </w:r>
      <w:r w:rsidRPr="00CA1D56">
        <w:rPr>
          <w:b/>
        </w:rPr>
        <w:tab/>
      </w:r>
      <w:r w:rsidR="004F73BD" w:rsidRPr="00CA1D56">
        <w:rPr>
          <w:b/>
          <w:bCs/>
        </w:rPr>
        <w:t>The State party should take the necessary measures, including through the adoption of temporary special measures, to further increase the participation of women in public life</w:t>
      </w:r>
      <w:r w:rsidR="004F73BD" w:rsidRPr="00CA1D56">
        <w:rPr>
          <w:b/>
        </w:rPr>
        <w:t xml:space="preserve">, particularly at the highest levels of the Government, in Parliament, in the judiciary and in </w:t>
      </w:r>
      <w:r w:rsidR="004F73BD" w:rsidRPr="00CA1D56">
        <w:rPr>
          <w:b/>
          <w:bCs/>
        </w:rPr>
        <w:t>decision-making positions in all other areas.</w:t>
      </w:r>
    </w:p>
    <w:p w:rsidR="004F73BD" w:rsidRPr="00CA1D56" w:rsidRDefault="004F73BD" w:rsidP="00DC55DB">
      <w:pPr>
        <w:pStyle w:val="SingleTxtG"/>
        <w:rPr>
          <w:b/>
        </w:rPr>
      </w:pPr>
      <w:r w:rsidRPr="00CA1D56">
        <w:rPr>
          <w:b/>
        </w:rPr>
        <w:t>Domestic and sexual violence</w:t>
      </w:r>
    </w:p>
    <w:p w:rsidR="004F73BD" w:rsidRPr="00CA1D56" w:rsidRDefault="00C94AA1" w:rsidP="00C94AA1">
      <w:pPr>
        <w:spacing w:after="120"/>
        <w:ind w:left="1134" w:right="1134" w:hanging="11"/>
        <w:jc w:val="both"/>
      </w:pPr>
      <w:r w:rsidRPr="00CA1D56">
        <w:t>18.</w:t>
      </w:r>
      <w:r w:rsidRPr="00CA1D56">
        <w:tab/>
      </w:r>
      <w:r w:rsidR="004F73BD" w:rsidRPr="00CA1D56">
        <w:t xml:space="preserve">The Committee is concerned </w:t>
      </w:r>
      <w:r w:rsidR="0095622A" w:rsidRPr="00CA1D56">
        <w:t xml:space="preserve">about reports indicating that domestic violence is widespread and underreported </w:t>
      </w:r>
      <w:r w:rsidR="004074CD">
        <w:t>and</w:t>
      </w:r>
      <w:r w:rsidR="0095622A" w:rsidRPr="00CA1D56">
        <w:t xml:space="preserve"> about the absence of legislation specifically criminalizing domestic and sexual v</w:t>
      </w:r>
      <w:r w:rsidR="00DC55DB">
        <w:t>iolence, including marital rape</w:t>
      </w:r>
      <w:r w:rsidR="0095622A" w:rsidRPr="00CA1D56">
        <w:t xml:space="preserve"> </w:t>
      </w:r>
      <w:r w:rsidR="004F73BD" w:rsidRPr="00CA1D56">
        <w:t xml:space="preserve">(arts. 2, 3, 7, 24 and 26). </w:t>
      </w:r>
    </w:p>
    <w:p w:rsidR="004F73BD" w:rsidRPr="00CA1D56" w:rsidRDefault="00C94AA1" w:rsidP="00C94AA1">
      <w:pPr>
        <w:spacing w:after="120"/>
        <w:ind w:left="1134" w:right="1134" w:hanging="11"/>
        <w:jc w:val="both"/>
        <w:rPr>
          <w:b/>
          <w:bCs/>
        </w:rPr>
      </w:pPr>
      <w:r w:rsidRPr="00BC5F20">
        <w:rPr>
          <w:bCs/>
        </w:rPr>
        <w:t>19.</w:t>
      </w:r>
      <w:r w:rsidRPr="00BC5F20">
        <w:rPr>
          <w:bCs/>
        </w:rPr>
        <w:tab/>
      </w:r>
      <w:r w:rsidR="004F73BD" w:rsidRPr="00CA1D56">
        <w:rPr>
          <w:b/>
        </w:rPr>
        <w:t xml:space="preserve">The State party should: (a) criminalize acts of domestic and sexual violence, including marital rape; (b) </w:t>
      </w:r>
      <w:r w:rsidR="00C26023">
        <w:rPr>
          <w:b/>
        </w:rPr>
        <w:t xml:space="preserve">ensure </w:t>
      </w:r>
      <w:r w:rsidR="00AC46EF">
        <w:rPr>
          <w:b/>
        </w:rPr>
        <w:t xml:space="preserve">that </w:t>
      </w:r>
      <w:r w:rsidR="004F73BD" w:rsidRPr="00CA1D56">
        <w:rPr>
          <w:b/>
        </w:rPr>
        <w:t xml:space="preserve">victims of domestic and sexual violence </w:t>
      </w:r>
      <w:r w:rsidR="00AC46EF">
        <w:rPr>
          <w:b/>
        </w:rPr>
        <w:t>have access to</w:t>
      </w:r>
      <w:r w:rsidR="00AC46EF" w:rsidRPr="00CA1D56">
        <w:rPr>
          <w:b/>
        </w:rPr>
        <w:t xml:space="preserve"> </w:t>
      </w:r>
      <w:r w:rsidR="004F73BD" w:rsidRPr="00CA1D56">
        <w:rPr>
          <w:b/>
        </w:rPr>
        <w:t>legal, medical and psychological assistance</w:t>
      </w:r>
      <w:r w:rsidR="00B47957" w:rsidRPr="00CA1D56">
        <w:rPr>
          <w:b/>
        </w:rPr>
        <w:t>, reparation</w:t>
      </w:r>
      <w:r w:rsidR="004F73BD" w:rsidRPr="00CA1D56">
        <w:rPr>
          <w:b/>
        </w:rPr>
        <w:t xml:space="preserve"> and rehabilitation and assist them </w:t>
      </w:r>
      <w:r w:rsidR="00B47957" w:rsidRPr="00CA1D56">
        <w:rPr>
          <w:b/>
        </w:rPr>
        <w:t xml:space="preserve">in </w:t>
      </w:r>
      <w:r w:rsidR="004F73BD" w:rsidRPr="00CA1D56">
        <w:rPr>
          <w:b/>
        </w:rPr>
        <w:t>report</w:t>
      </w:r>
      <w:r w:rsidR="00B47957" w:rsidRPr="00CA1D56">
        <w:rPr>
          <w:b/>
        </w:rPr>
        <w:t>ing</w:t>
      </w:r>
      <w:r w:rsidR="004F73BD" w:rsidRPr="00CA1D56">
        <w:rPr>
          <w:b/>
        </w:rPr>
        <w:t xml:space="preserve"> incidents; (c) </w:t>
      </w:r>
      <w:r w:rsidR="004F73BD" w:rsidRPr="00CA1D56">
        <w:rPr>
          <w:b/>
          <w:bCs/>
        </w:rPr>
        <w:t xml:space="preserve">ensure that cases of domestic violence are thoroughly investigated, that perpetrators are prosecuted, and if convicted, punished with appropriate sanctions. </w:t>
      </w:r>
    </w:p>
    <w:p w:rsidR="004F73BD" w:rsidRPr="00CA1D56" w:rsidRDefault="004F73BD" w:rsidP="00DC55DB">
      <w:pPr>
        <w:pStyle w:val="SingleTxtG"/>
        <w:rPr>
          <w:b/>
        </w:rPr>
      </w:pPr>
      <w:r w:rsidRPr="00CA1D56">
        <w:rPr>
          <w:b/>
        </w:rPr>
        <w:t>Counter-terrorism and right to privacy</w:t>
      </w:r>
    </w:p>
    <w:p w:rsidR="004F73BD" w:rsidRPr="00CA1D56" w:rsidRDefault="00C94AA1" w:rsidP="00C94AA1">
      <w:pPr>
        <w:spacing w:after="120"/>
        <w:ind w:left="1134" w:right="1134" w:hanging="11"/>
        <w:jc w:val="both"/>
      </w:pPr>
      <w:r w:rsidRPr="00CA1D56">
        <w:t>20.</w:t>
      </w:r>
      <w:r w:rsidRPr="00CA1D56">
        <w:tab/>
      </w:r>
      <w:r w:rsidR="004F73BD" w:rsidRPr="00CA1D56">
        <w:t>The Committee is concerned that the counterterrorism Law No. 78/2015 of July 2015, which requires nationwide compulsory DNA testing and the creation of a database placed under the control of the Minister of Interior, impose</w:t>
      </w:r>
      <w:r w:rsidR="00B47957" w:rsidRPr="00CA1D56">
        <w:t>s</w:t>
      </w:r>
      <w:r w:rsidR="004F73BD" w:rsidRPr="00CA1D56">
        <w:t xml:space="preserve"> unnecessary and </w:t>
      </w:r>
      <w:r w:rsidR="00F92013" w:rsidRPr="00CA1D56">
        <w:t xml:space="preserve">disproportionate </w:t>
      </w:r>
      <w:r w:rsidR="004F73BD" w:rsidRPr="00CA1D56">
        <w:t xml:space="preserve">restrictions </w:t>
      </w:r>
      <w:r w:rsidR="00B47957" w:rsidRPr="00CA1D56">
        <w:t xml:space="preserve">on </w:t>
      </w:r>
      <w:r w:rsidR="004F73BD" w:rsidRPr="00CA1D56">
        <w:t>the right to privacy. The Committee is particularly concerned about:</w:t>
      </w:r>
    </w:p>
    <w:p w:rsidR="004F73BD" w:rsidRPr="00CA1D56" w:rsidRDefault="00C94AA1" w:rsidP="00C94AA1">
      <w:pPr>
        <w:pStyle w:val="SingleTxtG"/>
      </w:pPr>
      <w:r>
        <w:tab/>
      </w:r>
      <w:r w:rsidR="00CA1D56">
        <w:t>(a)</w:t>
      </w:r>
      <w:r w:rsidR="00CA1D56">
        <w:tab/>
      </w:r>
      <w:proofErr w:type="gramStart"/>
      <w:r w:rsidR="005B786A">
        <w:t>t</w:t>
      </w:r>
      <w:r w:rsidR="004F73BD" w:rsidRPr="00CA1D56">
        <w:t>he</w:t>
      </w:r>
      <w:proofErr w:type="gramEnd"/>
      <w:r w:rsidR="004F73BD" w:rsidRPr="00CA1D56">
        <w:t xml:space="preserve"> compulsory nature and </w:t>
      </w:r>
      <w:r w:rsidR="005E59E6" w:rsidRPr="00CA1D56">
        <w:t>the sweeping</w:t>
      </w:r>
      <w:r w:rsidR="004F73BD" w:rsidRPr="00CA1D56">
        <w:t xml:space="preserve"> scope of DNA testing, which applies to all and impose</w:t>
      </w:r>
      <w:r w:rsidR="00F92013" w:rsidRPr="00CA1D56">
        <w:t>s</w:t>
      </w:r>
      <w:r w:rsidR="004F73BD" w:rsidRPr="00CA1D56">
        <w:t xml:space="preserve"> a penalty of one year imprisonment and a fine in case of refusal</w:t>
      </w:r>
      <w:r w:rsidR="00F92013" w:rsidRPr="00CA1D56">
        <w:t xml:space="preserve"> to provide samples</w:t>
      </w:r>
      <w:r w:rsidR="004F73BD" w:rsidRPr="00CA1D56">
        <w:t>;</w:t>
      </w:r>
    </w:p>
    <w:p w:rsidR="004F73BD" w:rsidRPr="00CA1D56" w:rsidRDefault="00C94AA1" w:rsidP="00C94AA1">
      <w:pPr>
        <w:pStyle w:val="SingleTxtG"/>
      </w:pPr>
      <w:r>
        <w:tab/>
      </w:r>
      <w:r w:rsidR="00CA1D56">
        <w:t>(b)</w:t>
      </w:r>
      <w:r w:rsidR="00CA1D56">
        <w:tab/>
      </w:r>
      <w:proofErr w:type="gramStart"/>
      <w:r w:rsidR="005B786A">
        <w:t>t</w:t>
      </w:r>
      <w:r w:rsidR="004F73BD" w:rsidRPr="00CA1D56">
        <w:t>he</w:t>
      </w:r>
      <w:proofErr w:type="gramEnd"/>
      <w:r w:rsidR="004F73BD" w:rsidRPr="00CA1D56">
        <w:t xml:space="preserve"> broad powers of the authorities and the Ministry of Interior to collect and use DNA samples, including “for any other cases required by the supreme interest of the country”;</w:t>
      </w:r>
    </w:p>
    <w:p w:rsidR="004F73BD" w:rsidRPr="00CA1D56" w:rsidRDefault="00C94AA1" w:rsidP="00C94AA1">
      <w:pPr>
        <w:pStyle w:val="SingleTxtG"/>
      </w:pPr>
      <w:r>
        <w:tab/>
      </w:r>
      <w:r w:rsidR="00CA1D56">
        <w:t>(c)</w:t>
      </w:r>
      <w:r w:rsidR="00CA1D56">
        <w:tab/>
      </w:r>
      <w:proofErr w:type="gramStart"/>
      <w:r w:rsidR="005B786A">
        <w:t>t</w:t>
      </w:r>
      <w:r w:rsidR="004F73BD" w:rsidRPr="00CA1D56">
        <w:t>he</w:t>
      </w:r>
      <w:proofErr w:type="gramEnd"/>
      <w:r w:rsidR="004F73BD" w:rsidRPr="00CA1D56">
        <w:t xml:space="preserve"> lack of clarity on whether necessary safeguards are in place to guarantee the confidentiality and prevent the arbitrary use of DNA samples collected;</w:t>
      </w:r>
    </w:p>
    <w:p w:rsidR="004F73BD" w:rsidRPr="00CA1D56" w:rsidRDefault="00C94AA1" w:rsidP="00C94AA1">
      <w:pPr>
        <w:pStyle w:val="SingleTxtG"/>
      </w:pPr>
      <w:r>
        <w:tab/>
      </w:r>
      <w:r w:rsidR="00CA1D56">
        <w:t>(d)</w:t>
      </w:r>
      <w:r w:rsidR="00CA1D56">
        <w:tab/>
      </w:r>
      <w:proofErr w:type="gramStart"/>
      <w:r w:rsidR="005B786A">
        <w:t>t</w:t>
      </w:r>
      <w:r w:rsidR="004F73BD" w:rsidRPr="00CA1D56">
        <w:t>he</w:t>
      </w:r>
      <w:proofErr w:type="gramEnd"/>
      <w:r w:rsidR="004F73BD" w:rsidRPr="00CA1D56">
        <w:t xml:space="preserve"> absence of independent control and the </w:t>
      </w:r>
      <w:r w:rsidR="00B47957" w:rsidRPr="00CA1D56">
        <w:t xml:space="preserve">inability </w:t>
      </w:r>
      <w:r w:rsidR="004F73BD" w:rsidRPr="00CA1D56">
        <w:t xml:space="preserve">to challenge the law before </w:t>
      </w:r>
      <w:r w:rsidR="00F92013" w:rsidRPr="00CA1D56">
        <w:t xml:space="preserve">an </w:t>
      </w:r>
      <w:r w:rsidR="004F73BD" w:rsidRPr="00CA1D56">
        <w:t xml:space="preserve">independent Court. </w:t>
      </w:r>
    </w:p>
    <w:p w:rsidR="004F73BD" w:rsidRPr="00CA1D56" w:rsidRDefault="00C94AA1" w:rsidP="00C94AA1">
      <w:pPr>
        <w:spacing w:after="120"/>
        <w:ind w:left="1134" w:right="1134" w:hanging="11"/>
        <w:jc w:val="both"/>
        <w:rPr>
          <w:b/>
        </w:rPr>
      </w:pPr>
      <w:r w:rsidRPr="00BC5F20">
        <w:t>21.</w:t>
      </w:r>
      <w:r w:rsidRPr="00CA1D56">
        <w:rPr>
          <w:b/>
        </w:rPr>
        <w:tab/>
      </w:r>
      <w:r w:rsidR="004F73BD" w:rsidRPr="00CA1D56">
        <w:rPr>
          <w:b/>
        </w:rPr>
        <w:t xml:space="preserve">The State party should take all measures necessary to ensure that DNA collection, use and retention conform to its obligations under the Covenant, including article 17, and that any interference with the right to privacy complies with the principles of legality, necessity and proportionality. Specifically, the State party should: (a) amend Law No. 78/2015 with a view to limiting DNA collection to individuals </w:t>
      </w:r>
      <w:r w:rsidR="00F92013" w:rsidRPr="00CA1D56">
        <w:rPr>
          <w:b/>
        </w:rPr>
        <w:t xml:space="preserve">suspected of having committed serious crimes </w:t>
      </w:r>
      <w:r w:rsidR="004F73BD" w:rsidRPr="00CA1D56">
        <w:rPr>
          <w:b/>
        </w:rPr>
        <w:t>and on the basis of a court decision;</w:t>
      </w:r>
      <w:r w:rsidR="004F73BD" w:rsidRPr="00CA1D56">
        <w:rPr>
          <w:b/>
          <w:bCs/>
        </w:rPr>
        <w:t xml:space="preserve"> </w:t>
      </w:r>
      <w:r w:rsidR="004F73BD" w:rsidRPr="00CA1D56">
        <w:rPr>
          <w:b/>
        </w:rPr>
        <w:t>(b) ensure that individuals can challenge the lawfulness of a request for DNA collection</w:t>
      </w:r>
      <w:r w:rsidR="00D272AA" w:rsidRPr="00CA1D56">
        <w:rPr>
          <w:b/>
        </w:rPr>
        <w:t xml:space="preserve"> in court</w:t>
      </w:r>
      <w:r w:rsidR="00F92013" w:rsidRPr="00CA1D56">
        <w:rPr>
          <w:b/>
        </w:rPr>
        <w:t>; (c)</w:t>
      </w:r>
      <w:r w:rsidR="004F73BD" w:rsidRPr="00CA1D56">
        <w:rPr>
          <w:b/>
        </w:rPr>
        <w:t xml:space="preserve"> set a time limit after which DNA samples are removed from the database;</w:t>
      </w:r>
      <w:r w:rsidR="00F92013" w:rsidRPr="00CA1D56">
        <w:rPr>
          <w:b/>
        </w:rPr>
        <w:t xml:space="preserve"> and</w:t>
      </w:r>
      <w:r w:rsidR="004F73BD" w:rsidRPr="00CA1D56">
        <w:rPr>
          <w:b/>
        </w:rPr>
        <w:t xml:space="preserve"> (</w:t>
      </w:r>
      <w:r w:rsidR="00F92013" w:rsidRPr="00CA1D56">
        <w:rPr>
          <w:b/>
        </w:rPr>
        <w:t>d</w:t>
      </w:r>
      <w:r w:rsidR="004F73BD" w:rsidRPr="00CA1D56">
        <w:rPr>
          <w:b/>
        </w:rPr>
        <w:t xml:space="preserve">) establish an oversight mechanism to monitor the collection and use of DNA samples, prevent abuses and ensure that individuals have access to effective remedies. </w:t>
      </w:r>
    </w:p>
    <w:p w:rsidR="004F73BD" w:rsidRPr="00CA1D56" w:rsidRDefault="00C94AA1" w:rsidP="00C94AA1">
      <w:pPr>
        <w:pStyle w:val="H23G"/>
      </w:pPr>
      <w:r>
        <w:tab/>
      </w:r>
      <w:r>
        <w:tab/>
      </w:r>
      <w:r w:rsidR="004F73BD" w:rsidRPr="00CA1D56">
        <w:t>Death penalty</w:t>
      </w:r>
    </w:p>
    <w:p w:rsidR="004F73BD" w:rsidRPr="00CA1D56" w:rsidRDefault="00C94AA1" w:rsidP="00C94AA1">
      <w:pPr>
        <w:spacing w:after="120"/>
        <w:ind w:left="1134" w:right="1134" w:hanging="11"/>
        <w:jc w:val="both"/>
      </w:pPr>
      <w:r w:rsidRPr="00CA1D56">
        <w:t>22.</w:t>
      </w:r>
      <w:r w:rsidRPr="00CA1D56">
        <w:tab/>
      </w:r>
      <w:r w:rsidR="004F73BD" w:rsidRPr="00CA1D56">
        <w:t>The Committee is concerned about:</w:t>
      </w:r>
    </w:p>
    <w:p w:rsidR="004F73BD" w:rsidRPr="00C94AA1" w:rsidRDefault="00C94AA1" w:rsidP="00C94AA1">
      <w:pPr>
        <w:pStyle w:val="SingleTxtG"/>
      </w:pPr>
      <w:r>
        <w:tab/>
      </w:r>
      <w:r w:rsidRPr="00C94AA1">
        <w:t>(a)</w:t>
      </w:r>
      <w:r w:rsidRPr="00C94AA1">
        <w:tab/>
      </w:r>
      <w:r w:rsidR="004F73BD" w:rsidRPr="00C94AA1">
        <w:t xml:space="preserve">The fact that Kuwait carried out several executions in 2013, </w:t>
      </w:r>
      <w:r w:rsidR="005E59E6" w:rsidRPr="00C94AA1">
        <w:t xml:space="preserve">ending </w:t>
      </w:r>
      <w:r w:rsidR="004F73BD" w:rsidRPr="00C94AA1">
        <w:t xml:space="preserve">the de facto moratorium on executions that was in force since 2007; </w:t>
      </w:r>
    </w:p>
    <w:p w:rsidR="004F73BD" w:rsidRPr="00C94AA1" w:rsidRDefault="00C94AA1" w:rsidP="00C94AA1">
      <w:pPr>
        <w:pStyle w:val="SingleTxtG"/>
      </w:pPr>
      <w:r>
        <w:tab/>
      </w:r>
      <w:r w:rsidRPr="00C94AA1">
        <w:t>(b)</w:t>
      </w:r>
      <w:r w:rsidRPr="00C94AA1">
        <w:tab/>
      </w:r>
      <w:r w:rsidR="004F73BD" w:rsidRPr="00C94AA1">
        <w:t>The large and increasing number of offences for which the death penalty can be imposed, including vague offences relating to internal and external security</w:t>
      </w:r>
      <w:r w:rsidR="00B47957" w:rsidRPr="00C94AA1">
        <w:t xml:space="preserve">, and the fact </w:t>
      </w:r>
      <w:r w:rsidR="004F73BD" w:rsidRPr="00C94AA1">
        <w:t xml:space="preserve">that the legislation maintains </w:t>
      </w:r>
      <w:r w:rsidR="00B47957" w:rsidRPr="00C94AA1">
        <w:t xml:space="preserve">the </w:t>
      </w:r>
      <w:r w:rsidR="004F73BD" w:rsidRPr="00C94AA1">
        <w:t>death penalty for offences that do not meet the threshold of the “most serious crimes” within the meaning of the Covenant, such as offences relating to drug-related crimes;</w:t>
      </w:r>
    </w:p>
    <w:p w:rsidR="004F73BD" w:rsidRPr="00C94AA1" w:rsidRDefault="00C94AA1" w:rsidP="00C94AA1">
      <w:pPr>
        <w:pStyle w:val="SingleTxtG"/>
      </w:pPr>
      <w:r>
        <w:tab/>
      </w:r>
      <w:r w:rsidRPr="00C94AA1">
        <w:t>(c)</w:t>
      </w:r>
      <w:r w:rsidRPr="00C94AA1">
        <w:tab/>
      </w:r>
      <w:r w:rsidR="004F73BD" w:rsidRPr="00C94AA1">
        <w:t xml:space="preserve">Information that </w:t>
      </w:r>
      <w:r w:rsidR="005E59E6" w:rsidRPr="00C94AA1">
        <w:t xml:space="preserve">the </w:t>
      </w:r>
      <w:r w:rsidR="004F73BD" w:rsidRPr="00C94AA1">
        <w:t>imposition</w:t>
      </w:r>
      <w:r w:rsidR="00B47957" w:rsidRPr="00C94AA1">
        <w:t xml:space="preserve"> of the death penalty</w:t>
      </w:r>
      <w:r w:rsidR="004F73BD" w:rsidRPr="00C94AA1">
        <w:t xml:space="preserve"> is mandatory for certain crimes (arts. 6 and 7).</w:t>
      </w:r>
    </w:p>
    <w:p w:rsidR="004F73BD" w:rsidRPr="00CA1D56" w:rsidRDefault="00C94AA1" w:rsidP="00C94AA1">
      <w:pPr>
        <w:spacing w:after="120"/>
        <w:ind w:left="1134" w:right="1134" w:hanging="11"/>
        <w:jc w:val="both"/>
        <w:rPr>
          <w:b/>
        </w:rPr>
      </w:pPr>
      <w:r w:rsidRPr="00BC5F20">
        <w:t>23.</w:t>
      </w:r>
      <w:r w:rsidRPr="00BC5F20">
        <w:tab/>
      </w:r>
      <w:r w:rsidR="004F73BD" w:rsidRPr="00CA1D56">
        <w:rPr>
          <w:b/>
        </w:rPr>
        <w:t xml:space="preserve">The State party should give due consideration to abolishing the death penalty and acceding to the Second Optional Protocol to the Covenant, aiming at the abolition of the death penalty. If the death penalty is maintained, the State party should take all measures necessary, including legislative action, to ensure that the death penalty is provided only for the most serious crimes </w:t>
      </w:r>
      <w:r w:rsidR="00724991" w:rsidRPr="00CA1D56">
        <w:rPr>
          <w:b/>
        </w:rPr>
        <w:t xml:space="preserve">and not for offences that are overly broad or vague, </w:t>
      </w:r>
      <w:r w:rsidR="004F73BD" w:rsidRPr="00CA1D56">
        <w:rPr>
          <w:b/>
        </w:rPr>
        <w:t xml:space="preserve">and </w:t>
      </w:r>
      <w:r w:rsidR="002E492C" w:rsidRPr="00CA1D56">
        <w:rPr>
          <w:b/>
        </w:rPr>
        <w:t xml:space="preserve">ensure that </w:t>
      </w:r>
      <w:r w:rsidR="004F73BD" w:rsidRPr="00CA1D56">
        <w:rPr>
          <w:b/>
        </w:rPr>
        <w:t xml:space="preserve">it is never mandatory. </w:t>
      </w:r>
    </w:p>
    <w:p w:rsidR="004F73BD" w:rsidRPr="00CA1D56" w:rsidRDefault="004F73BD" w:rsidP="004F73BD">
      <w:pPr>
        <w:pStyle w:val="SingleTxtG"/>
        <w:rPr>
          <w:b/>
        </w:rPr>
      </w:pPr>
      <w:r w:rsidRPr="00CA1D56">
        <w:rPr>
          <w:b/>
        </w:rPr>
        <w:t>Torture and ill-treatment</w:t>
      </w:r>
    </w:p>
    <w:p w:rsidR="004F73BD" w:rsidRPr="00CA1D56" w:rsidRDefault="00C94AA1" w:rsidP="00C94AA1">
      <w:pPr>
        <w:spacing w:after="120"/>
        <w:ind w:left="1134" w:right="1134" w:hanging="11"/>
        <w:jc w:val="both"/>
      </w:pPr>
      <w:r w:rsidRPr="00CA1D56">
        <w:t>24.</w:t>
      </w:r>
      <w:r w:rsidRPr="00CA1D56">
        <w:tab/>
      </w:r>
      <w:r w:rsidR="004F73BD" w:rsidRPr="00CA1D56">
        <w:t>The Committee</w:t>
      </w:r>
      <w:r w:rsidR="004F73BD" w:rsidRPr="00CA1D56">
        <w:rPr>
          <w:bCs/>
        </w:rPr>
        <w:t xml:space="preserve"> is concerned about allegations of occasional cases of torture</w:t>
      </w:r>
      <w:r w:rsidR="004F73BD" w:rsidRPr="00CA1D56">
        <w:t xml:space="preserve"> </w:t>
      </w:r>
      <w:r w:rsidR="004F73BD" w:rsidRPr="00CA1D56">
        <w:rPr>
          <w:bCs/>
        </w:rPr>
        <w:t xml:space="preserve">and inhumane or degrading treatment in detention by the police and security forces, which seem to have increased in the last few months in response to terrorist activities. The Committee is also concerned that the State party’s criminal legislation does not adequately ensure that acts covered by the internationally accepted definition of torture are fully criminalized </w:t>
      </w:r>
      <w:r w:rsidR="004F73BD" w:rsidRPr="00CA1D56">
        <w:t>(art. 7).</w:t>
      </w:r>
    </w:p>
    <w:p w:rsidR="004F73BD" w:rsidRPr="00CA1D56" w:rsidRDefault="00C94AA1" w:rsidP="00C94AA1">
      <w:pPr>
        <w:spacing w:after="120"/>
        <w:ind w:left="1134" w:right="1134" w:hanging="11"/>
        <w:jc w:val="both"/>
        <w:rPr>
          <w:b/>
        </w:rPr>
      </w:pPr>
      <w:r w:rsidRPr="00BC5F20">
        <w:t>25.</w:t>
      </w:r>
      <w:r w:rsidRPr="00BC5F20">
        <w:tab/>
      </w:r>
      <w:r w:rsidR="004F73BD" w:rsidRPr="00CA1D56">
        <w:rPr>
          <w:b/>
        </w:rPr>
        <w:t xml:space="preserve">The State party should: (a) amend the Penal Code to </w:t>
      </w:r>
      <w:r w:rsidR="00664CE8">
        <w:rPr>
          <w:b/>
        </w:rPr>
        <w:t xml:space="preserve">ensure that all acts of torture, as contained in the internationally accepted definition of torture, are prohibited </w:t>
      </w:r>
      <w:r w:rsidR="004F73BD" w:rsidRPr="00CA1D56">
        <w:rPr>
          <w:b/>
        </w:rPr>
        <w:t xml:space="preserve">and </w:t>
      </w:r>
      <w:r w:rsidR="00724991" w:rsidRPr="00CA1D56">
        <w:rPr>
          <w:b/>
        </w:rPr>
        <w:t xml:space="preserve">to </w:t>
      </w:r>
      <w:r w:rsidR="004F73BD" w:rsidRPr="00CA1D56">
        <w:rPr>
          <w:b/>
        </w:rPr>
        <w:t xml:space="preserve">stipulate sanctions for acts of torture </w:t>
      </w:r>
      <w:r w:rsidR="00724991" w:rsidRPr="00CA1D56">
        <w:rPr>
          <w:b/>
        </w:rPr>
        <w:t xml:space="preserve">that </w:t>
      </w:r>
      <w:r w:rsidR="004F73BD" w:rsidRPr="00CA1D56">
        <w:rPr>
          <w:b/>
        </w:rPr>
        <w:t>are commensurate with the gravity of such offences; and (b) establish a fully independent complaint mechanism, ensure independent and prompt investigation and prosecution of State officials responsible for alleged acts of torture or inhumane or degrading treatment, and ensure the independence of the departments of forensic medicine and criminal evidence from the Ministry of Interior.</w:t>
      </w:r>
    </w:p>
    <w:p w:rsidR="004F73BD" w:rsidRPr="00CA1D56" w:rsidRDefault="004F73BD" w:rsidP="004F73BD">
      <w:pPr>
        <w:pStyle w:val="SingleTxtG"/>
        <w:rPr>
          <w:b/>
          <w:bCs/>
        </w:rPr>
      </w:pPr>
      <w:r w:rsidRPr="00CA1D56">
        <w:rPr>
          <w:b/>
          <w:bCs/>
        </w:rPr>
        <w:t>Police custody and basic legal guarantees</w:t>
      </w:r>
    </w:p>
    <w:p w:rsidR="004F73BD" w:rsidRPr="00CA1D56" w:rsidRDefault="00C94AA1" w:rsidP="00C94AA1">
      <w:pPr>
        <w:spacing w:after="120"/>
        <w:ind w:left="1134" w:right="1134" w:hanging="11"/>
        <w:jc w:val="both"/>
      </w:pPr>
      <w:r w:rsidRPr="00CA1D56">
        <w:t>26.</w:t>
      </w:r>
      <w:r w:rsidRPr="00CA1D56">
        <w:tab/>
      </w:r>
      <w:r w:rsidR="004F73BD" w:rsidRPr="00CA1D56">
        <w:t xml:space="preserve">While noting the 2012 amendments of the Code of Criminal Procedure, the Committee is concerned that those who are arrested can be held in police custody up to 10 days upon a written order of the investigator and may only be presented before a judge after this </w:t>
      </w:r>
      <w:proofErr w:type="gramStart"/>
      <w:r w:rsidR="00C26023" w:rsidRPr="00CA1D56">
        <w:t xml:space="preserve">period </w:t>
      </w:r>
      <w:r w:rsidR="00C26023">
        <w:t xml:space="preserve"> </w:t>
      </w:r>
      <w:r w:rsidR="004F73BD" w:rsidRPr="00CA1D56">
        <w:t>(</w:t>
      </w:r>
      <w:proofErr w:type="gramEnd"/>
      <w:r w:rsidR="004F73BD" w:rsidRPr="00CA1D56">
        <w:t>art. 9).</w:t>
      </w:r>
    </w:p>
    <w:p w:rsidR="004F73BD" w:rsidRPr="00CA1D56" w:rsidRDefault="00C94AA1" w:rsidP="00C94AA1">
      <w:pPr>
        <w:spacing w:after="120"/>
        <w:ind w:left="1134" w:right="1134" w:hanging="11"/>
        <w:jc w:val="both"/>
        <w:rPr>
          <w:b/>
        </w:rPr>
      </w:pPr>
      <w:r w:rsidRPr="00BC5F20">
        <w:t>27.</w:t>
      </w:r>
      <w:r w:rsidRPr="00BC5F20">
        <w:tab/>
      </w:r>
      <w:r w:rsidR="004F73BD" w:rsidRPr="00CA1D56">
        <w:rPr>
          <w:b/>
        </w:rPr>
        <w:t xml:space="preserve">The State party should amend its legislation to ensure that anyone arrested or detained on a criminal charge is brought before a judge within 48 hours. </w:t>
      </w:r>
    </w:p>
    <w:p w:rsidR="004F73BD" w:rsidRPr="00CA1D56" w:rsidRDefault="004F73BD" w:rsidP="004F73BD">
      <w:pPr>
        <w:pStyle w:val="SingleTxtG"/>
        <w:rPr>
          <w:b/>
        </w:rPr>
      </w:pPr>
      <w:r w:rsidRPr="00CA1D56">
        <w:rPr>
          <w:b/>
        </w:rPr>
        <w:t xml:space="preserve">Administrative deportations, appeals and remedies </w:t>
      </w:r>
    </w:p>
    <w:p w:rsidR="004F73BD" w:rsidRPr="00CA1D56" w:rsidRDefault="00C94AA1" w:rsidP="00C94AA1">
      <w:pPr>
        <w:spacing w:after="120"/>
        <w:ind w:left="1134" w:right="1134" w:hanging="11"/>
        <w:jc w:val="both"/>
      </w:pPr>
      <w:r w:rsidRPr="00CA1D56">
        <w:t>28.</w:t>
      </w:r>
      <w:r w:rsidRPr="00CA1D56">
        <w:tab/>
      </w:r>
      <w:r w:rsidR="004F73BD" w:rsidRPr="00CA1D56">
        <w:t>The Committee reiterates its concern (CCPR/C/KWT/CO/2, par. 20) about the absence of a maximum period of detention for persons awaiting administrative deportation, and the unavailability of judicial remedies enabling such persons to seek review of the lawfulness of their detention (art</w:t>
      </w:r>
      <w:r w:rsidR="00D272AA" w:rsidRPr="00CA1D56">
        <w:t>s</w:t>
      </w:r>
      <w:r w:rsidR="004F73BD" w:rsidRPr="00CA1D56">
        <w:t>. 9</w:t>
      </w:r>
      <w:r w:rsidR="00D272AA" w:rsidRPr="00CA1D56">
        <w:t xml:space="preserve"> and 13</w:t>
      </w:r>
      <w:r w:rsidR="004F73BD" w:rsidRPr="00CA1D56">
        <w:t>).</w:t>
      </w:r>
    </w:p>
    <w:p w:rsidR="004F73BD" w:rsidRPr="00CA1D56" w:rsidRDefault="00C94AA1" w:rsidP="00C94AA1">
      <w:pPr>
        <w:spacing w:after="120"/>
        <w:ind w:left="1134" w:right="1134" w:hanging="11"/>
        <w:jc w:val="both"/>
        <w:rPr>
          <w:b/>
        </w:rPr>
      </w:pPr>
      <w:r w:rsidRPr="00BC5F20">
        <w:t>29.</w:t>
      </w:r>
      <w:r w:rsidRPr="00BC5F20">
        <w:tab/>
      </w:r>
      <w:r w:rsidR="004F73BD" w:rsidRPr="00CA1D56">
        <w:rPr>
          <w:b/>
        </w:rPr>
        <w:t>The State party should: (a) ensure that person</w:t>
      </w:r>
      <w:r w:rsidR="00D272AA" w:rsidRPr="00CA1D56">
        <w:rPr>
          <w:b/>
        </w:rPr>
        <w:t>s</w:t>
      </w:r>
      <w:r w:rsidR="004F73BD" w:rsidRPr="00CA1D56">
        <w:rPr>
          <w:b/>
        </w:rPr>
        <w:t xml:space="preserve"> subject to a deportation order, including when it relates to immigration, citizenship and nationality,</w:t>
      </w:r>
      <w:r w:rsidR="00D272AA" w:rsidRPr="00CA1D56">
        <w:rPr>
          <w:b/>
        </w:rPr>
        <w:t xml:space="preserve"> </w:t>
      </w:r>
      <w:r w:rsidR="00C26023">
        <w:rPr>
          <w:b/>
        </w:rPr>
        <w:t>have their case reviewed by a competent authority</w:t>
      </w:r>
      <w:r w:rsidR="004F73BD" w:rsidRPr="00CA1D56">
        <w:rPr>
          <w:b/>
        </w:rPr>
        <w:t xml:space="preserve">; and (b) ensure that </w:t>
      </w:r>
      <w:r w:rsidR="00724991" w:rsidRPr="00CA1D56">
        <w:rPr>
          <w:b/>
        </w:rPr>
        <w:t xml:space="preserve">detention is a measure of last resort and for the shortest period of time, is necessary and proportionate in light of the circumstances, that alternatives to detention are resorted to, in practice, </w:t>
      </w:r>
      <w:r w:rsidR="004F73BD" w:rsidRPr="00CA1D56">
        <w:rPr>
          <w:b/>
        </w:rPr>
        <w:t>and that judicial remedies are available to review the lawfulness of their detention.</w:t>
      </w:r>
    </w:p>
    <w:p w:rsidR="004F73BD" w:rsidRPr="00CA1D56" w:rsidRDefault="004F73BD" w:rsidP="00BC5F20">
      <w:pPr>
        <w:pStyle w:val="SingleTxtG"/>
        <w:keepNext/>
        <w:keepLines/>
        <w:rPr>
          <w:b/>
        </w:rPr>
      </w:pPr>
      <w:r w:rsidRPr="00CA1D56">
        <w:rPr>
          <w:b/>
        </w:rPr>
        <w:t>Independence of the judiciary</w:t>
      </w:r>
    </w:p>
    <w:p w:rsidR="004F73BD" w:rsidRPr="00CA1D56" w:rsidRDefault="00C94AA1" w:rsidP="00BC5F20">
      <w:pPr>
        <w:keepNext/>
        <w:keepLines/>
        <w:spacing w:after="120"/>
        <w:ind w:left="1134" w:right="1134" w:hanging="11"/>
        <w:jc w:val="both"/>
      </w:pPr>
      <w:r w:rsidRPr="00CA1D56">
        <w:t>30.</w:t>
      </w:r>
      <w:r w:rsidRPr="00CA1D56">
        <w:tab/>
      </w:r>
      <w:r w:rsidR="004F73BD" w:rsidRPr="00CA1D56">
        <w:t>The Committee is concerned about the insufficient independence of the judiciary from the executive branch in such matter</w:t>
      </w:r>
      <w:r w:rsidR="00B75E57" w:rsidRPr="00CA1D56">
        <w:t>s</w:t>
      </w:r>
      <w:r w:rsidR="004F73BD" w:rsidRPr="00CA1D56">
        <w:t xml:space="preserve"> as appointment, promotion, and disciplining of judges. It is also concerned that noncitizen judges lack security of tenure </w:t>
      </w:r>
      <w:r w:rsidR="00724991" w:rsidRPr="00CA1D56">
        <w:t xml:space="preserve">since </w:t>
      </w:r>
      <w:r w:rsidR="004F73BD" w:rsidRPr="00CA1D56">
        <w:t xml:space="preserve">their judicial appointment must be renewed every two years (art. 14). </w:t>
      </w:r>
    </w:p>
    <w:p w:rsidR="004F73BD" w:rsidRPr="00CA1D56" w:rsidRDefault="00C94AA1" w:rsidP="00C94AA1">
      <w:pPr>
        <w:spacing w:after="120"/>
        <w:ind w:left="1134" w:right="1134" w:hanging="11"/>
        <w:jc w:val="both"/>
      </w:pPr>
      <w:r w:rsidRPr="00CA1D56">
        <w:t>31.</w:t>
      </w:r>
      <w:r w:rsidRPr="00CA1D56">
        <w:tab/>
      </w:r>
      <w:r w:rsidR="004F73BD" w:rsidRPr="00CA1D56">
        <w:rPr>
          <w:b/>
        </w:rPr>
        <w:t>The State party should guarantee the independence, autonomy and impartiality of the judiciary through the reform of the appointment, promotion and discipline of judges</w:t>
      </w:r>
      <w:r w:rsidR="00F92013" w:rsidRPr="00CA1D56">
        <w:rPr>
          <w:b/>
        </w:rPr>
        <w:t xml:space="preserve"> </w:t>
      </w:r>
      <w:r w:rsidR="004F73BD" w:rsidRPr="00CA1D56">
        <w:rPr>
          <w:b/>
        </w:rPr>
        <w:t xml:space="preserve">and the security of tenure of foreign judges. </w:t>
      </w:r>
    </w:p>
    <w:p w:rsidR="004F73BD" w:rsidRPr="00CA1D56" w:rsidRDefault="004F73BD" w:rsidP="004F73BD">
      <w:pPr>
        <w:pStyle w:val="SingleTxtG"/>
        <w:rPr>
          <w:b/>
        </w:rPr>
      </w:pPr>
      <w:r w:rsidRPr="00CA1D56">
        <w:rPr>
          <w:b/>
        </w:rPr>
        <w:t>Discrimination, exploitation and abuses against domestic workers</w:t>
      </w:r>
    </w:p>
    <w:p w:rsidR="004F73BD" w:rsidRPr="004A6454" w:rsidRDefault="00C94AA1" w:rsidP="00C94AA1">
      <w:pPr>
        <w:spacing w:after="120"/>
        <w:ind w:left="1134" w:right="1134" w:hanging="11"/>
        <w:jc w:val="both"/>
      </w:pPr>
      <w:r w:rsidRPr="00CA1D56">
        <w:t>32.</w:t>
      </w:r>
      <w:r w:rsidRPr="00CA1D56">
        <w:tab/>
      </w:r>
      <w:r w:rsidR="004F73BD" w:rsidRPr="004A6454">
        <w:t xml:space="preserve">The Committee is concerned about: </w:t>
      </w:r>
      <w:r w:rsidR="00FC08BA" w:rsidRPr="004A6454">
        <w:t xml:space="preserve">(a) discrimination, exploitation and abuses against </w:t>
      </w:r>
      <w:r w:rsidR="00B106AF" w:rsidRPr="004A6454">
        <w:t>foreign</w:t>
      </w:r>
      <w:r w:rsidR="00FC08BA" w:rsidRPr="004A6454">
        <w:t xml:space="preserve"> domestic workers, which is exacerbated by the “</w:t>
      </w:r>
      <w:proofErr w:type="spellStart"/>
      <w:r w:rsidR="00FC08BA" w:rsidRPr="004A6454">
        <w:rPr>
          <w:i/>
        </w:rPr>
        <w:t>kafil</w:t>
      </w:r>
      <w:proofErr w:type="spellEnd"/>
      <w:r w:rsidR="00FC08BA" w:rsidRPr="004A6454">
        <w:rPr>
          <w:i/>
        </w:rPr>
        <w:t xml:space="preserve">” </w:t>
      </w:r>
      <w:r w:rsidR="00FC08BA" w:rsidRPr="004A6454">
        <w:t xml:space="preserve">system; </w:t>
      </w:r>
      <w:r w:rsidR="004F73BD" w:rsidRPr="004A6454">
        <w:t>(</w:t>
      </w:r>
      <w:r w:rsidR="00FC08BA" w:rsidRPr="004A6454">
        <w:t>b</w:t>
      </w:r>
      <w:r w:rsidR="004F73BD" w:rsidRPr="004A6454">
        <w:t>) discrepancies between the rights afforded to domestic workers</w:t>
      </w:r>
      <w:r w:rsidR="00FC08BA" w:rsidRPr="004A6454">
        <w:t xml:space="preserve">, the majority of whom </w:t>
      </w:r>
      <w:r w:rsidR="004A6454" w:rsidRPr="004A6454">
        <w:t>are</w:t>
      </w:r>
      <w:r w:rsidR="00FC08BA" w:rsidRPr="004A6454">
        <w:t xml:space="preserve"> </w:t>
      </w:r>
      <w:r w:rsidR="00B106AF" w:rsidRPr="004A6454">
        <w:t>foreigners</w:t>
      </w:r>
      <w:r w:rsidR="00FC08BA" w:rsidRPr="004A6454">
        <w:t>,</w:t>
      </w:r>
      <w:r w:rsidR="004F73BD" w:rsidRPr="004A6454">
        <w:t xml:space="preserve"> </w:t>
      </w:r>
      <w:r w:rsidR="004A6454" w:rsidRPr="004A6454">
        <w:t>under</w:t>
      </w:r>
      <w:r w:rsidR="004F73BD" w:rsidRPr="004A6454">
        <w:t xml:space="preserve"> the Domestic Workers Law 68</w:t>
      </w:r>
      <w:r w:rsidR="00271662" w:rsidRPr="004A6454">
        <w:t>/2015</w:t>
      </w:r>
      <w:r w:rsidR="004F73BD" w:rsidRPr="004A6454">
        <w:t xml:space="preserve"> and the rights provided to other workers</w:t>
      </w:r>
      <w:r w:rsidR="005B786A" w:rsidRPr="004A6454">
        <w:t>;</w:t>
      </w:r>
      <w:r w:rsidR="004F73BD" w:rsidRPr="004A6454">
        <w:t xml:space="preserve"> and (c) information that cases of violence against domestic workers are underreported owing to the fear of reprisals from the sponsor, loss of livelihoods and risk of deportation (arts. </w:t>
      </w:r>
      <w:r w:rsidR="00724991" w:rsidRPr="004A6454">
        <w:t xml:space="preserve">2, </w:t>
      </w:r>
      <w:r w:rsidR="004F73BD" w:rsidRPr="004A6454">
        <w:t>7</w:t>
      </w:r>
      <w:r w:rsidR="00724991" w:rsidRPr="004A6454">
        <w:t xml:space="preserve">, </w:t>
      </w:r>
      <w:r w:rsidR="004F73BD" w:rsidRPr="004A6454">
        <w:t>8</w:t>
      </w:r>
      <w:r w:rsidR="00724991" w:rsidRPr="004A6454">
        <w:t>, 12 and 26</w:t>
      </w:r>
      <w:r w:rsidR="004F73BD" w:rsidRPr="004A6454">
        <w:t xml:space="preserve">). </w:t>
      </w:r>
    </w:p>
    <w:p w:rsidR="004F73BD" w:rsidRPr="00CA1D56" w:rsidRDefault="00C94AA1" w:rsidP="00C94AA1">
      <w:pPr>
        <w:spacing w:after="120"/>
        <w:ind w:left="1134" w:right="1134" w:hanging="11"/>
        <w:jc w:val="both"/>
        <w:rPr>
          <w:b/>
        </w:rPr>
      </w:pPr>
      <w:r w:rsidRPr="004A6454">
        <w:t>33.</w:t>
      </w:r>
      <w:r w:rsidRPr="004A6454">
        <w:tab/>
      </w:r>
      <w:r w:rsidR="004F73BD" w:rsidRPr="004A6454">
        <w:rPr>
          <w:b/>
        </w:rPr>
        <w:t xml:space="preserve">The State party should: </w:t>
      </w:r>
      <w:r w:rsidR="00FC08BA" w:rsidRPr="004A6454">
        <w:rPr>
          <w:b/>
        </w:rPr>
        <w:t xml:space="preserve">(a) effectively regulate the recruitment and employment of domestic workers in the private sector to prevent abuse and forced labour; </w:t>
      </w:r>
      <w:r w:rsidR="004F73BD" w:rsidRPr="004A6454">
        <w:rPr>
          <w:b/>
        </w:rPr>
        <w:t>(</w:t>
      </w:r>
      <w:r w:rsidR="00FC08BA" w:rsidRPr="004A6454">
        <w:rPr>
          <w:b/>
        </w:rPr>
        <w:t>b</w:t>
      </w:r>
      <w:r w:rsidR="004F73BD" w:rsidRPr="004A6454">
        <w:rPr>
          <w:b/>
        </w:rPr>
        <w:t>) abolish the “</w:t>
      </w:r>
      <w:proofErr w:type="spellStart"/>
      <w:r w:rsidR="004F73BD" w:rsidRPr="004A6454">
        <w:rPr>
          <w:b/>
          <w:i/>
        </w:rPr>
        <w:t>kafil</w:t>
      </w:r>
      <w:proofErr w:type="spellEnd"/>
      <w:r w:rsidR="004F73BD" w:rsidRPr="004A6454">
        <w:rPr>
          <w:b/>
          <w:i/>
        </w:rPr>
        <w:t>”</w:t>
      </w:r>
      <w:r w:rsidR="004F73BD" w:rsidRPr="004A6454">
        <w:rPr>
          <w:b/>
        </w:rPr>
        <w:t xml:space="preserve"> system and replace it with residency permits for domestic workers; (</w:t>
      </w:r>
      <w:r w:rsidR="00FC08BA" w:rsidRPr="004A6454">
        <w:rPr>
          <w:b/>
        </w:rPr>
        <w:t>c</w:t>
      </w:r>
      <w:r w:rsidR="004F73BD" w:rsidRPr="004A6454">
        <w:rPr>
          <w:b/>
        </w:rPr>
        <w:t xml:space="preserve">) </w:t>
      </w:r>
      <w:r w:rsidR="00FC08BA" w:rsidRPr="004A6454">
        <w:rPr>
          <w:b/>
        </w:rPr>
        <w:t>ensure that all workers enjoy their basic rights, irresp</w:t>
      </w:r>
      <w:r w:rsidR="00271662" w:rsidRPr="004A6454">
        <w:rPr>
          <w:b/>
        </w:rPr>
        <w:t xml:space="preserve">ective of their </w:t>
      </w:r>
      <w:r w:rsidR="004A6454" w:rsidRPr="004A6454">
        <w:rPr>
          <w:b/>
        </w:rPr>
        <w:t>citizenship</w:t>
      </w:r>
      <w:r w:rsidR="00FC08BA" w:rsidRPr="004A6454">
        <w:rPr>
          <w:b/>
        </w:rPr>
        <w:t xml:space="preserve">, including by amending </w:t>
      </w:r>
      <w:r w:rsidR="0092458C" w:rsidRPr="004A6454">
        <w:rPr>
          <w:b/>
        </w:rPr>
        <w:t xml:space="preserve">the </w:t>
      </w:r>
      <w:r w:rsidR="004F73BD" w:rsidRPr="004A6454">
        <w:rPr>
          <w:b/>
        </w:rPr>
        <w:t>Domestic Workers Law 68/2015; and (d) ensure the strict enforcement</w:t>
      </w:r>
      <w:r w:rsidR="004F73BD" w:rsidRPr="00CA1D56">
        <w:rPr>
          <w:b/>
        </w:rPr>
        <w:t xml:space="preserve"> of legislation and regulations protecting them from abuse, conduct regular labour inspections, investigate allegations of abuse, prosecute and sanctions abusive employers, sponsors and recruitment companies</w:t>
      </w:r>
      <w:r w:rsidR="00724991" w:rsidRPr="00CA1D56">
        <w:rPr>
          <w:b/>
        </w:rPr>
        <w:t xml:space="preserve"> and provide reparation to victims</w:t>
      </w:r>
      <w:r w:rsidR="004F73BD" w:rsidRPr="00CA1D56">
        <w:rPr>
          <w:b/>
        </w:rPr>
        <w:t xml:space="preserve">. </w:t>
      </w:r>
    </w:p>
    <w:p w:rsidR="004F73BD" w:rsidRPr="00CA1D56" w:rsidRDefault="004F73BD" w:rsidP="004F73BD">
      <w:pPr>
        <w:pStyle w:val="SingleTxtG"/>
        <w:rPr>
          <w:b/>
        </w:rPr>
      </w:pPr>
      <w:r w:rsidRPr="00CA1D56">
        <w:rPr>
          <w:b/>
        </w:rPr>
        <w:t>Trafficking in persons, forced labour and forced prostitution</w:t>
      </w:r>
    </w:p>
    <w:p w:rsidR="004F73BD" w:rsidRPr="00CA1D56" w:rsidRDefault="00C94AA1" w:rsidP="00C94AA1">
      <w:pPr>
        <w:spacing w:after="120"/>
        <w:ind w:left="1134" w:right="1134" w:hanging="11"/>
        <w:jc w:val="both"/>
      </w:pPr>
      <w:r w:rsidRPr="00CA1D56">
        <w:t>34.</w:t>
      </w:r>
      <w:r w:rsidRPr="00CA1D56">
        <w:tab/>
      </w:r>
      <w:r w:rsidR="004F73BD" w:rsidRPr="00CA1D56">
        <w:t>While welcoming the measures adopted to combat trafficking in persons, the Committee remains</w:t>
      </w:r>
      <w:r w:rsidR="004F73BD" w:rsidRPr="00CA1D56">
        <w:rPr>
          <w:i/>
        </w:rPr>
        <w:t xml:space="preserve"> </w:t>
      </w:r>
      <w:r w:rsidR="004F73BD" w:rsidRPr="00CA1D56">
        <w:t>concerned:</w:t>
      </w:r>
    </w:p>
    <w:p w:rsidR="004F73BD" w:rsidRPr="00BC5F20" w:rsidRDefault="00BC5F20" w:rsidP="00BC5F20">
      <w:pPr>
        <w:pStyle w:val="SingleTxtG"/>
      </w:pPr>
      <w:r w:rsidRPr="00BC5F20">
        <w:tab/>
      </w:r>
      <w:r w:rsidR="00C94AA1" w:rsidRPr="00BC5F20">
        <w:t>(a)</w:t>
      </w:r>
      <w:r w:rsidR="00C94AA1" w:rsidRPr="00BC5F20">
        <w:tab/>
      </w:r>
      <w:r w:rsidR="005B786A">
        <w:t>a</w:t>
      </w:r>
      <w:r w:rsidR="004F73BD" w:rsidRPr="00BC5F20">
        <w:t xml:space="preserve">t the low number of prosecutions, convictions or sentences </w:t>
      </w:r>
      <w:r w:rsidR="00724991" w:rsidRPr="00BC5F20">
        <w:t xml:space="preserve">for </w:t>
      </w:r>
      <w:r w:rsidR="004F73BD" w:rsidRPr="00BC5F20">
        <w:t>trafficking offenders under the Act No. 91 (2013) for either forced labour or sex trafficking;</w:t>
      </w:r>
    </w:p>
    <w:p w:rsidR="004F73BD" w:rsidRPr="00BC5F20" w:rsidRDefault="00BC5F20" w:rsidP="00BC5F20">
      <w:pPr>
        <w:pStyle w:val="SingleTxtG"/>
      </w:pPr>
      <w:r>
        <w:tab/>
      </w:r>
      <w:r w:rsidR="00C94AA1" w:rsidRPr="00BC5F20">
        <w:t>(b)</w:t>
      </w:r>
      <w:r w:rsidR="00C94AA1" w:rsidRPr="00BC5F20">
        <w:tab/>
      </w:r>
      <w:proofErr w:type="gramStart"/>
      <w:r w:rsidR="005B786A">
        <w:t>t</w:t>
      </w:r>
      <w:r w:rsidR="004F73BD" w:rsidRPr="00BC5F20">
        <w:t>hat</w:t>
      </w:r>
      <w:proofErr w:type="gramEnd"/>
      <w:r w:rsidR="004F73BD" w:rsidRPr="00BC5F20">
        <w:t xml:space="preserve"> the 2013 anti-trafficking legislation does not provide protection from prosecution for victims who flee abusive employer’s residence without permission and who are at risk of arrest, detention and deportation;</w:t>
      </w:r>
    </w:p>
    <w:p w:rsidR="004F73BD" w:rsidRPr="00BC5F20" w:rsidRDefault="00BC5F20" w:rsidP="00BC5F20">
      <w:pPr>
        <w:pStyle w:val="SingleTxtG"/>
      </w:pPr>
      <w:r>
        <w:tab/>
      </w:r>
      <w:r w:rsidR="00C94AA1" w:rsidRPr="00BC5F20">
        <w:t>(c)</w:t>
      </w:r>
      <w:r w:rsidR="00C94AA1" w:rsidRPr="00BC5F20">
        <w:tab/>
      </w:r>
      <w:proofErr w:type="gramStart"/>
      <w:r w:rsidR="005B786A">
        <w:t>t</w:t>
      </w:r>
      <w:r w:rsidR="004F73BD" w:rsidRPr="00BC5F20">
        <w:t>hat</w:t>
      </w:r>
      <w:proofErr w:type="gramEnd"/>
      <w:r w:rsidR="004F73BD" w:rsidRPr="00BC5F20">
        <w:t xml:space="preserve"> despite the legal prohibition of withholding workers’ passports, the practice remains common among employers and sponsors of foreign workers; and</w:t>
      </w:r>
    </w:p>
    <w:p w:rsidR="004F73BD" w:rsidRPr="00BC5F20" w:rsidRDefault="00BC5F20" w:rsidP="00BC5F20">
      <w:pPr>
        <w:pStyle w:val="SingleTxtG"/>
      </w:pPr>
      <w:r>
        <w:tab/>
      </w:r>
      <w:r w:rsidR="00C94AA1" w:rsidRPr="00BC5F20">
        <w:t>(d)</w:t>
      </w:r>
      <w:r w:rsidR="00C94AA1" w:rsidRPr="00BC5F20">
        <w:tab/>
      </w:r>
      <w:r w:rsidR="005B786A">
        <w:t>a</w:t>
      </w:r>
      <w:r w:rsidR="004F73BD" w:rsidRPr="00BC5F20">
        <w:t>t the application of stringent standards of proof</w:t>
      </w:r>
      <w:r w:rsidR="00D272AA" w:rsidRPr="00BC5F20">
        <w:t>, in particular evidence of coercion,</w:t>
      </w:r>
      <w:r w:rsidR="004F73BD" w:rsidRPr="00BC5F20">
        <w:t xml:space="preserve"> applied by the courts and the Criminal Investigation Division for determining whether women are forced into prostitution (arts. 3, 7, 8</w:t>
      </w:r>
      <w:r w:rsidR="00A348BE" w:rsidRPr="00BC5F20">
        <w:t>, 9</w:t>
      </w:r>
      <w:r w:rsidR="004F73BD" w:rsidRPr="00BC5F20">
        <w:t xml:space="preserve"> and 24).</w:t>
      </w:r>
    </w:p>
    <w:p w:rsidR="004F73BD" w:rsidRPr="00CA1D56" w:rsidRDefault="00C94AA1" w:rsidP="00C94AA1">
      <w:pPr>
        <w:spacing w:after="120"/>
        <w:ind w:left="1134" w:right="1134" w:hanging="11"/>
        <w:jc w:val="both"/>
        <w:rPr>
          <w:b/>
        </w:rPr>
      </w:pPr>
      <w:r w:rsidRPr="00BC5F20">
        <w:t>35.</w:t>
      </w:r>
      <w:r w:rsidRPr="00BC5F20">
        <w:tab/>
      </w:r>
      <w:r w:rsidR="004F73BD" w:rsidRPr="00CA1D56">
        <w:rPr>
          <w:b/>
        </w:rPr>
        <w:t xml:space="preserve">The State party should: (a) speedily adopt the national strategy to combat trafficking, strengthen its efforts to implement Act No. 91 (2013) and investigate, prosecute and convict offenders, in particular employers, sponsors and recruitment companies found guilty of forced labour and sex trafficking; (b) elaborate procedures for the identification and referral of victims of trafficking in order to prevent their arrest, detention and </w:t>
      </w:r>
      <w:r w:rsidR="00A348BE" w:rsidRPr="00CA1D56">
        <w:rPr>
          <w:b/>
        </w:rPr>
        <w:t xml:space="preserve">arbitrary </w:t>
      </w:r>
      <w:r w:rsidR="004F73BD" w:rsidRPr="00CA1D56">
        <w:rPr>
          <w:b/>
        </w:rPr>
        <w:t xml:space="preserve">deportation; (c) step up its efforts to enforce the prohibition of withholding workers’ passports; (d) relax the stringent standards of evidence of coercion for victims of forced prostitution and </w:t>
      </w:r>
      <w:r w:rsidR="00724991" w:rsidRPr="00CA1D56">
        <w:rPr>
          <w:b/>
        </w:rPr>
        <w:t>make available</w:t>
      </w:r>
      <w:r w:rsidR="004F73BD" w:rsidRPr="00CA1D56">
        <w:rPr>
          <w:b/>
        </w:rPr>
        <w:t xml:space="preserve"> residence permits on humanitarian grounds to foreign victims of trafficking and forced prostitution.</w:t>
      </w:r>
    </w:p>
    <w:p w:rsidR="004F73BD" w:rsidRPr="00CA1D56" w:rsidRDefault="004F73BD" w:rsidP="004F73BD">
      <w:pPr>
        <w:pStyle w:val="SingleTxtG"/>
        <w:rPr>
          <w:b/>
        </w:rPr>
      </w:pPr>
      <w:r w:rsidRPr="00CA1D56">
        <w:rPr>
          <w:b/>
        </w:rPr>
        <w:t>Refugees and asylum-seekers</w:t>
      </w:r>
    </w:p>
    <w:p w:rsidR="004F73BD" w:rsidRPr="00CA1D56" w:rsidRDefault="00C94AA1" w:rsidP="00C94AA1">
      <w:pPr>
        <w:spacing w:after="120"/>
        <w:ind w:left="1134" w:right="1134" w:hanging="11"/>
        <w:jc w:val="both"/>
      </w:pPr>
      <w:r w:rsidRPr="00CA1D56">
        <w:t>36.</w:t>
      </w:r>
      <w:r w:rsidRPr="00CA1D56">
        <w:tab/>
      </w:r>
      <w:r w:rsidR="004F73BD" w:rsidRPr="00CA1D56">
        <w:t xml:space="preserve">The Committee is concerned at the absence of legal framework regulating asylum in the State party and defining a refugee, which leads to the arbitrary implementation of the </w:t>
      </w:r>
      <w:r w:rsidR="00724991" w:rsidRPr="00CA1D56">
        <w:t xml:space="preserve">prohibition on </w:t>
      </w:r>
      <w:r w:rsidR="004F73BD" w:rsidRPr="00CA1D56">
        <w:t>non-</w:t>
      </w:r>
      <w:proofErr w:type="spellStart"/>
      <w:r w:rsidR="004F73BD" w:rsidRPr="00CA1D56">
        <w:t>refoulement</w:t>
      </w:r>
      <w:proofErr w:type="spellEnd"/>
      <w:r w:rsidR="004F73BD" w:rsidRPr="00CA1D56">
        <w:t xml:space="preserve"> (arts. 6, 7, 9 and 13).</w:t>
      </w:r>
    </w:p>
    <w:p w:rsidR="004F73BD" w:rsidRPr="00CA1D56" w:rsidRDefault="00C94AA1" w:rsidP="00C94AA1">
      <w:pPr>
        <w:spacing w:after="120"/>
        <w:ind w:left="1134" w:right="1134" w:hanging="11"/>
        <w:jc w:val="both"/>
        <w:rPr>
          <w:b/>
        </w:rPr>
      </w:pPr>
      <w:r w:rsidRPr="00BC5F20">
        <w:t>37.</w:t>
      </w:r>
      <w:r w:rsidRPr="00BC5F20">
        <w:tab/>
      </w:r>
      <w:r w:rsidR="004F73BD" w:rsidRPr="00CA1D56">
        <w:rPr>
          <w:b/>
        </w:rPr>
        <w:t xml:space="preserve">The State party should establish a legal and institutional framework regulating asylum in accordance with international standards </w:t>
      </w:r>
      <w:r w:rsidR="007B794C">
        <w:rPr>
          <w:b/>
        </w:rPr>
        <w:t>so as to</w:t>
      </w:r>
      <w:r w:rsidR="007B794C" w:rsidRPr="00CA1D56">
        <w:rPr>
          <w:b/>
        </w:rPr>
        <w:t xml:space="preserve"> </w:t>
      </w:r>
      <w:r w:rsidR="00E93704" w:rsidRPr="00CA1D56">
        <w:rPr>
          <w:b/>
        </w:rPr>
        <w:t xml:space="preserve">ensure its </w:t>
      </w:r>
      <w:r w:rsidR="007B794C">
        <w:rPr>
          <w:b/>
        </w:rPr>
        <w:t>compliance with the non-</w:t>
      </w:r>
      <w:proofErr w:type="spellStart"/>
      <w:r w:rsidR="007B794C">
        <w:rPr>
          <w:b/>
        </w:rPr>
        <w:t>refoulement</w:t>
      </w:r>
      <w:proofErr w:type="spellEnd"/>
      <w:r w:rsidR="007B794C">
        <w:rPr>
          <w:b/>
        </w:rPr>
        <w:t xml:space="preserve"> principle</w:t>
      </w:r>
      <w:r w:rsidR="00E93704" w:rsidRPr="00CA1D56">
        <w:rPr>
          <w:b/>
        </w:rPr>
        <w:t xml:space="preserve">, and </w:t>
      </w:r>
      <w:r w:rsidR="004F73BD" w:rsidRPr="00CA1D56">
        <w:rPr>
          <w:b/>
        </w:rPr>
        <w:t>consider</w:t>
      </w:r>
      <w:r w:rsidR="007B794C">
        <w:rPr>
          <w:b/>
        </w:rPr>
        <w:t xml:space="preserve"> the possibility of</w:t>
      </w:r>
      <w:r w:rsidR="004F73BD" w:rsidRPr="00CA1D56">
        <w:rPr>
          <w:b/>
        </w:rPr>
        <w:t xml:space="preserve"> acceding to the 1951 Convention relating to the Status of Refugees and its 1967 Protocol.</w:t>
      </w:r>
      <w:r w:rsidR="00766CCD" w:rsidRPr="00766CCD">
        <w:rPr>
          <w:b/>
        </w:rPr>
        <w:t xml:space="preserve"> </w:t>
      </w:r>
    </w:p>
    <w:p w:rsidR="004F73BD" w:rsidRPr="00CA1D56" w:rsidRDefault="004F73BD" w:rsidP="004F73BD">
      <w:pPr>
        <w:pStyle w:val="SingleTxtG"/>
        <w:rPr>
          <w:b/>
        </w:rPr>
      </w:pPr>
      <w:r w:rsidRPr="00CA1D56">
        <w:rPr>
          <w:b/>
        </w:rPr>
        <w:t xml:space="preserve">Freedom of </w:t>
      </w:r>
      <w:r w:rsidR="007B794C">
        <w:rPr>
          <w:b/>
        </w:rPr>
        <w:t xml:space="preserve">thought, conscience and </w:t>
      </w:r>
      <w:r w:rsidRPr="00CA1D56">
        <w:rPr>
          <w:b/>
        </w:rPr>
        <w:t>religion</w:t>
      </w:r>
    </w:p>
    <w:p w:rsidR="004F73BD" w:rsidRPr="00CA1D56" w:rsidRDefault="00C94AA1" w:rsidP="00C94AA1">
      <w:pPr>
        <w:spacing w:after="120"/>
        <w:ind w:left="1134" w:right="1134" w:hanging="11"/>
        <w:jc w:val="both"/>
      </w:pPr>
      <w:r w:rsidRPr="00CA1D56">
        <w:t>38.</w:t>
      </w:r>
      <w:r w:rsidRPr="00CA1D56">
        <w:tab/>
      </w:r>
      <w:r w:rsidR="004F73BD" w:rsidRPr="00CA1D56">
        <w:t xml:space="preserve">The Committee remains concerned about the existence of legal provisions, regulations and practices that adversely affect the exercise of the right to freedom of </w:t>
      </w:r>
      <w:r w:rsidR="002214C4">
        <w:t xml:space="preserve">thought, conscience and </w:t>
      </w:r>
      <w:r w:rsidR="004F73BD" w:rsidRPr="00CA1D56">
        <w:t xml:space="preserve">religion, such as blasphemy and related laws and provisions prohibiting the naturalisation of non-Muslims. It is also concerned at </w:t>
      </w:r>
      <w:r w:rsidR="00A348BE" w:rsidRPr="00CA1D56">
        <w:t xml:space="preserve">discriminatory </w:t>
      </w:r>
      <w:r w:rsidR="004F73BD" w:rsidRPr="00CA1D56">
        <w:t xml:space="preserve">restrictions imposed on licences granted for the construction of places of worship (arts. 18 and 26). </w:t>
      </w:r>
    </w:p>
    <w:p w:rsidR="004F73BD" w:rsidRPr="00CA1D56" w:rsidRDefault="00C94AA1" w:rsidP="00C94AA1">
      <w:pPr>
        <w:spacing w:after="120"/>
        <w:ind w:left="1134" w:right="1134" w:hanging="11"/>
        <w:jc w:val="both"/>
        <w:rPr>
          <w:b/>
          <w:bCs/>
        </w:rPr>
      </w:pPr>
      <w:r w:rsidRPr="00BC5F20">
        <w:rPr>
          <w:bCs/>
        </w:rPr>
        <w:t>39.</w:t>
      </w:r>
      <w:r w:rsidRPr="00BC5F20">
        <w:rPr>
          <w:bCs/>
        </w:rPr>
        <w:tab/>
      </w:r>
      <w:r w:rsidR="004F73BD" w:rsidRPr="00CA1D56">
        <w:rPr>
          <w:b/>
        </w:rPr>
        <w:t>T</w:t>
      </w:r>
      <w:r w:rsidR="004F73BD" w:rsidRPr="00CA1D56">
        <w:rPr>
          <w:b/>
          <w:bCs/>
        </w:rPr>
        <w:t xml:space="preserve">he State party should eliminate </w:t>
      </w:r>
      <w:r w:rsidR="00E93704" w:rsidRPr="00CA1D56">
        <w:rPr>
          <w:b/>
          <w:bCs/>
        </w:rPr>
        <w:t xml:space="preserve">all </w:t>
      </w:r>
      <w:r w:rsidR="004F73BD" w:rsidRPr="00CA1D56">
        <w:rPr>
          <w:b/>
          <w:bCs/>
        </w:rPr>
        <w:t xml:space="preserve">discriminatory legislation and practices that violate the right to freedom of </w:t>
      </w:r>
      <w:r w:rsidR="00271662">
        <w:rPr>
          <w:b/>
          <w:bCs/>
        </w:rPr>
        <w:t xml:space="preserve">thought, conscience and </w:t>
      </w:r>
      <w:r w:rsidR="005810F0" w:rsidRPr="00CA1D56">
        <w:rPr>
          <w:b/>
          <w:bCs/>
        </w:rPr>
        <w:t>religion</w:t>
      </w:r>
      <w:r w:rsidR="00A115A3" w:rsidRPr="00CA1D56">
        <w:rPr>
          <w:b/>
          <w:bCs/>
        </w:rPr>
        <w:t xml:space="preserve">, including blasphemy laws that </w:t>
      </w:r>
      <w:r w:rsidR="00E93704" w:rsidRPr="00CA1D56">
        <w:rPr>
          <w:b/>
          <w:bCs/>
        </w:rPr>
        <w:t>are incompatible with the Covenant</w:t>
      </w:r>
      <w:r w:rsidR="004F73BD" w:rsidRPr="00CA1D56">
        <w:rPr>
          <w:b/>
          <w:bCs/>
        </w:rPr>
        <w:t>.</w:t>
      </w:r>
    </w:p>
    <w:p w:rsidR="004F73BD" w:rsidRPr="00CA1D56" w:rsidRDefault="004F73BD" w:rsidP="004F73BD">
      <w:pPr>
        <w:pStyle w:val="SingleTxtG"/>
        <w:rPr>
          <w:b/>
          <w:bCs/>
        </w:rPr>
      </w:pPr>
      <w:r w:rsidRPr="00CA1D56">
        <w:rPr>
          <w:b/>
          <w:bCs/>
        </w:rPr>
        <w:t>Freedom of expression</w:t>
      </w:r>
    </w:p>
    <w:p w:rsidR="004F73BD" w:rsidRPr="00CA1D56" w:rsidRDefault="00C94AA1" w:rsidP="00C94AA1">
      <w:pPr>
        <w:spacing w:after="120"/>
        <w:ind w:left="1134" w:right="1134" w:hanging="11"/>
        <w:jc w:val="both"/>
        <w:rPr>
          <w:bCs/>
        </w:rPr>
      </w:pPr>
      <w:r w:rsidRPr="00CA1D56">
        <w:rPr>
          <w:bCs/>
        </w:rPr>
        <w:t>42.</w:t>
      </w:r>
      <w:r w:rsidRPr="00CA1D56">
        <w:rPr>
          <w:bCs/>
        </w:rPr>
        <w:tab/>
      </w:r>
      <w:r w:rsidR="004F73BD" w:rsidRPr="00CA1D56">
        <w:rPr>
          <w:bCs/>
        </w:rPr>
        <w:t>The Committee is concerned about reports of arbitrary arrest, detention, trial, withdrawal of citizenship and deportation of persons who exercise their freedom of opinion and expression. The Committee i</w:t>
      </w:r>
      <w:r w:rsidR="00A115A3" w:rsidRPr="00CA1D56">
        <w:rPr>
          <w:bCs/>
        </w:rPr>
        <w:t>s</w:t>
      </w:r>
      <w:r w:rsidR="004F73BD" w:rsidRPr="00CA1D56">
        <w:rPr>
          <w:bCs/>
        </w:rPr>
        <w:t xml:space="preserve"> particularly concerned about: (a) the adoption of new legislation to further curb the right to freedom of expression and opinion and extend State control and restrictions on Internet-based expression under the Communication Law No. 37 (2014) and the Cybercrime Law (2015); (b) </w:t>
      </w:r>
      <w:r w:rsidR="00A115A3" w:rsidRPr="00CA1D56">
        <w:rPr>
          <w:bCs/>
        </w:rPr>
        <w:t xml:space="preserve">the criminalization of defamation and blasphemy </w:t>
      </w:r>
      <w:r w:rsidR="00786DBA" w:rsidRPr="00CA1D56">
        <w:rPr>
          <w:bCs/>
        </w:rPr>
        <w:t xml:space="preserve">and the application of </w:t>
      </w:r>
      <w:r w:rsidR="004F73BD" w:rsidRPr="00CA1D56">
        <w:rPr>
          <w:bCs/>
        </w:rPr>
        <w:t xml:space="preserve">restrictive, vague and broadly worded provisions to prosecute activists, journalists, bloggers and other individuals for expressing critical views or views deemed to “insult” the Emir or undermine his authority, defame religion, or threaten Kuwait’s national security or its relations with other States; </w:t>
      </w:r>
      <w:r w:rsidR="00786DBA" w:rsidRPr="00CA1D56">
        <w:rPr>
          <w:bCs/>
        </w:rPr>
        <w:t xml:space="preserve">(c) </w:t>
      </w:r>
      <w:r w:rsidR="00B32EF9" w:rsidRPr="00CA1D56">
        <w:rPr>
          <w:bCs/>
        </w:rPr>
        <w:t>amendments in June 2016 of the electoral law barring persons convicted of defamation or blasphemy from standing for election;</w:t>
      </w:r>
      <w:r w:rsidR="00786DBA" w:rsidRPr="00CA1D56">
        <w:rPr>
          <w:bCs/>
        </w:rPr>
        <w:t xml:space="preserve"> </w:t>
      </w:r>
      <w:r w:rsidR="004F73BD" w:rsidRPr="00CA1D56">
        <w:rPr>
          <w:bCs/>
        </w:rPr>
        <w:t>(</w:t>
      </w:r>
      <w:r w:rsidR="002214C4">
        <w:rPr>
          <w:bCs/>
        </w:rPr>
        <w:t>d</w:t>
      </w:r>
      <w:r w:rsidR="004F73BD" w:rsidRPr="005810F0">
        <w:rPr>
          <w:bCs/>
        </w:rPr>
        <w:t>) alleged termination of licenses for audio-visual and print media critical of the government;</w:t>
      </w:r>
      <w:r w:rsidR="004F73BD" w:rsidRPr="00CA1D56">
        <w:rPr>
          <w:bCs/>
        </w:rPr>
        <w:t xml:space="preserve"> (</w:t>
      </w:r>
      <w:r w:rsidR="002214C4">
        <w:rPr>
          <w:bCs/>
        </w:rPr>
        <w:t>e</w:t>
      </w:r>
      <w:r w:rsidR="004F73BD" w:rsidRPr="00CA1D56">
        <w:rPr>
          <w:bCs/>
        </w:rPr>
        <w:t>) content control and denial of access to the Internet, and revocation of service providers’ licenses, without disclosure of reasons and due process (arts. 9, 17, 18</w:t>
      </w:r>
      <w:r w:rsidR="002E492C" w:rsidRPr="00CA1D56">
        <w:rPr>
          <w:bCs/>
        </w:rPr>
        <w:t>,</w:t>
      </w:r>
      <w:r w:rsidR="00A348BE" w:rsidRPr="00CA1D56">
        <w:rPr>
          <w:bCs/>
        </w:rPr>
        <w:t xml:space="preserve"> </w:t>
      </w:r>
      <w:r w:rsidR="004F73BD" w:rsidRPr="00CA1D56">
        <w:rPr>
          <w:bCs/>
        </w:rPr>
        <w:t>19</w:t>
      </w:r>
      <w:r w:rsidR="002E492C" w:rsidRPr="00CA1D56">
        <w:rPr>
          <w:bCs/>
        </w:rPr>
        <w:t xml:space="preserve"> and 25</w:t>
      </w:r>
      <w:r w:rsidR="004F73BD" w:rsidRPr="00CA1D56">
        <w:rPr>
          <w:bCs/>
        </w:rPr>
        <w:t>).</w:t>
      </w:r>
    </w:p>
    <w:p w:rsidR="004F73BD" w:rsidRPr="00CA1D56" w:rsidRDefault="00C94AA1" w:rsidP="00C94AA1">
      <w:pPr>
        <w:spacing w:after="120"/>
        <w:ind w:left="1134" w:right="1134" w:hanging="11"/>
        <w:jc w:val="both"/>
        <w:rPr>
          <w:b/>
          <w:bCs/>
        </w:rPr>
      </w:pPr>
      <w:r w:rsidRPr="00BC5F20">
        <w:rPr>
          <w:bCs/>
        </w:rPr>
        <w:t>43.</w:t>
      </w:r>
      <w:r w:rsidRPr="00BC5F20">
        <w:rPr>
          <w:bCs/>
        </w:rPr>
        <w:tab/>
      </w:r>
      <w:r w:rsidR="004F73BD" w:rsidRPr="00CA1D56">
        <w:rPr>
          <w:b/>
          <w:bCs/>
        </w:rPr>
        <w:t>The State party should: (a) repeal or revise laws containing provisions restricting the right to freedom of expression and opinion</w:t>
      </w:r>
      <w:r w:rsidR="00786DBA" w:rsidRPr="00CA1D56">
        <w:rPr>
          <w:b/>
          <w:bCs/>
        </w:rPr>
        <w:t xml:space="preserve"> </w:t>
      </w:r>
      <w:r w:rsidR="004F73BD" w:rsidRPr="00CA1D56">
        <w:rPr>
          <w:b/>
          <w:bCs/>
        </w:rPr>
        <w:t>with a view to bringing them into conformity with its obligations under the Covenant</w:t>
      </w:r>
      <w:r w:rsidR="00786DBA" w:rsidRPr="00CA1D56">
        <w:rPr>
          <w:b/>
          <w:bCs/>
        </w:rPr>
        <w:t xml:space="preserve">, including repeal of laws criminalizing, </w:t>
      </w:r>
      <w:r w:rsidR="00786DBA" w:rsidRPr="00CA1D56">
        <w:rPr>
          <w:b/>
          <w:bCs/>
          <w:i/>
        </w:rPr>
        <w:t>inter alia</w:t>
      </w:r>
      <w:r w:rsidR="00786DBA" w:rsidRPr="00CA1D56">
        <w:rPr>
          <w:b/>
          <w:bCs/>
        </w:rPr>
        <w:t>, bl</w:t>
      </w:r>
      <w:r w:rsidR="002214C4">
        <w:rPr>
          <w:b/>
          <w:bCs/>
        </w:rPr>
        <w:t>asphemy and insult of the Emir</w:t>
      </w:r>
      <w:r w:rsidR="004F73BD" w:rsidRPr="00CA1D56">
        <w:rPr>
          <w:b/>
          <w:bCs/>
        </w:rPr>
        <w:t>; (b) clarify the vague, broad and open-ended definition of key terms in these laws and ensure that they are not used as tools to curtail freedom of expression beyond the narrow restrictions permitted in article 19</w:t>
      </w:r>
      <w:r w:rsidR="00786DBA" w:rsidRPr="00CA1D56">
        <w:rPr>
          <w:b/>
          <w:bCs/>
        </w:rPr>
        <w:t>(3)</w:t>
      </w:r>
      <w:r w:rsidR="004F73BD" w:rsidRPr="00CA1D56">
        <w:rPr>
          <w:b/>
          <w:bCs/>
        </w:rPr>
        <w:t xml:space="preserve"> of the Covenant; (c) guarantee media freedom, including by</w:t>
      </w:r>
      <w:r w:rsidR="00DB34AD">
        <w:rPr>
          <w:b/>
          <w:bCs/>
        </w:rPr>
        <w:t xml:space="preserve"> </w:t>
      </w:r>
      <w:r w:rsidR="005810F0" w:rsidRPr="005810F0">
        <w:rPr>
          <w:b/>
          <w:bCs/>
        </w:rPr>
        <w:t> </w:t>
      </w:r>
      <w:r w:rsidR="005810F0">
        <w:rPr>
          <w:b/>
          <w:bCs/>
        </w:rPr>
        <w:t xml:space="preserve">ensuring that </w:t>
      </w:r>
      <w:r w:rsidR="005810F0" w:rsidRPr="005810F0">
        <w:rPr>
          <w:b/>
          <w:bCs/>
        </w:rPr>
        <w:t>media can operate independently and free from</w:t>
      </w:r>
      <w:r w:rsidR="005810F0">
        <w:rPr>
          <w:b/>
          <w:bCs/>
        </w:rPr>
        <w:t xml:space="preserve"> </w:t>
      </w:r>
      <w:r w:rsidR="005810F0" w:rsidRPr="005810F0">
        <w:rPr>
          <w:b/>
          <w:bCs/>
        </w:rPr>
        <w:t>government intervention</w:t>
      </w:r>
      <w:r w:rsidR="005810F0">
        <w:rPr>
          <w:b/>
          <w:bCs/>
        </w:rPr>
        <w:t xml:space="preserve">, </w:t>
      </w:r>
      <w:r w:rsidR="004F73BD" w:rsidRPr="00CA1D56">
        <w:rPr>
          <w:b/>
          <w:bCs/>
        </w:rPr>
        <w:t xml:space="preserve">that decisions to suspend or close media outlets are made </w:t>
      </w:r>
      <w:r w:rsidR="005810F0">
        <w:rPr>
          <w:b/>
          <w:bCs/>
        </w:rPr>
        <w:t xml:space="preserve">by an independent authority and are </w:t>
      </w:r>
      <w:r w:rsidR="004F73BD" w:rsidRPr="00CA1D56">
        <w:rPr>
          <w:b/>
          <w:bCs/>
        </w:rPr>
        <w:t xml:space="preserve">subject to judicial </w:t>
      </w:r>
      <w:r w:rsidR="00A348BE" w:rsidRPr="00CA1D56">
        <w:rPr>
          <w:b/>
          <w:bCs/>
        </w:rPr>
        <w:t>review</w:t>
      </w:r>
      <w:r w:rsidR="004F73BD" w:rsidRPr="00CA1D56">
        <w:rPr>
          <w:b/>
          <w:bCs/>
        </w:rPr>
        <w:t>; (d) release, rehabilitate and provide effective judicial redress and compensation for persons imprisoned in contravention of articles 9 and 19 of the Covenant; and (e) ensure that the monitoring of Internet use does not violate the rights to freedom of expression and privacy as defined in the Covenant. </w:t>
      </w:r>
    </w:p>
    <w:p w:rsidR="004F73BD" w:rsidRPr="00CA1D56" w:rsidRDefault="004F73BD" w:rsidP="004F73BD">
      <w:pPr>
        <w:pStyle w:val="SingleTxtG"/>
        <w:rPr>
          <w:b/>
          <w:bCs/>
        </w:rPr>
      </w:pPr>
      <w:r w:rsidRPr="00CA1D56">
        <w:rPr>
          <w:b/>
          <w:bCs/>
        </w:rPr>
        <w:t>Freedom of peaceful assembly and excessive use of force</w:t>
      </w:r>
    </w:p>
    <w:p w:rsidR="004F73BD" w:rsidRPr="00CA1D56" w:rsidRDefault="00C94AA1" w:rsidP="00C94AA1">
      <w:pPr>
        <w:spacing w:after="120"/>
        <w:ind w:left="1134" w:right="1134" w:hanging="11"/>
        <w:jc w:val="both"/>
        <w:rPr>
          <w:bCs/>
        </w:rPr>
      </w:pPr>
      <w:r w:rsidRPr="00CA1D56">
        <w:rPr>
          <w:bCs/>
        </w:rPr>
        <w:t>44.</w:t>
      </w:r>
      <w:r w:rsidRPr="00CA1D56">
        <w:rPr>
          <w:bCs/>
        </w:rPr>
        <w:tab/>
      </w:r>
      <w:r w:rsidR="004F73BD" w:rsidRPr="00CA1D56">
        <w:rPr>
          <w:bCs/>
        </w:rPr>
        <w:t xml:space="preserve">The Committee is concerned about article 12 of Law No. 65 (1979) on Public Gatherings that bars non-Kuwaitis from participating in public gatherings and about the </w:t>
      </w:r>
      <w:r w:rsidR="00A41BFE">
        <w:rPr>
          <w:bCs/>
        </w:rPr>
        <w:t xml:space="preserve">overbroad </w:t>
      </w:r>
      <w:r w:rsidR="004F73BD" w:rsidRPr="00CA1D56">
        <w:rPr>
          <w:bCs/>
        </w:rPr>
        <w:t xml:space="preserve">prohibition of public gatherings without prior authorisation from the Ministry of Interior. In addition, it remains concerned at reports that the State party </w:t>
      </w:r>
      <w:r w:rsidR="00B32EF9" w:rsidRPr="00CA1D56">
        <w:rPr>
          <w:bCs/>
        </w:rPr>
        <w:t xml:space="preserve">unduly </w:t>
      </w:r>
      <w:r w:rsidR="004F73BD" w:rsidRPr="00CA1D56">
        <w:rPr>
          <w:bCs/>
        </w:rPr>
        <w:t xml:space="preserve">restricts freedom </w:t>
      </w:r>
      <w:r w:rsidR="00B32EF9" w:rsidRPr="00CA1D56">
        <w:rPr>
          <w:bCs/>
        </w:rPr>
        <w:t xml:space="preserve">of </w:t>
      </w:r>
      <w:r w:rsidR="004F73BD" w:rsidRPr="00CA1D56">
        <w:rPr>
          <w:bCs/>
        </w:rPr>
        <w:t xml:space="preserve">peaceful assembly and that security forces </w:t>
      </w:r>
      <w:r w:rsidR="00B32EF9" w:rsidRPr="00CA1D56">
        <w:rPr>
          <w:bCs/>
        </w:rPr>
        <w:t xml:space="preserve">have </w:t>
      </w:r>
      <w:r w:rsidR="004F73BD" w:rsidRPr="00CA1D56">
        <w:rPr>
          <w:bCs/>
        </w:rPr>
        <w:t xml:space="preserve">dispersed peaceful demonstrations </w:t>
      </w:r>
      <w:r w:rsidR="00B32EF9" w:rsidRPr="00CA1D56">
        <w:rPr>
          <w:bCs/>
        </w:rPr>
        <w:t xml:space="preserve">with </w:t>
      </w:r>
      <w:r w:rsidR="004F73BD" w:rsidRPr="00CA1D56">
        <w:rPr>
          <w:bCs/>
        </w:rPr>
        <w:t>excessive and disproportionate use</w:t>
      </w:r>
      <w:r w:rsidR="00B32EF9" w:rsidRPr="00CA1D56">
        <w:rPr>
          <w:bCs/>
        </w:rPr>
        <w:t>s</w:t>
      </w:r>
      <w:r w:rsidR="004F73BD" w:rsidRPr="00CA1D56">
        <w:rPr>
          <w:bCs/>
        </w:rPr>
        <w:t xml:space="preserve"> of force (arts. 7and 21). </w:t>
      </w:r>
    </w:p>
    <w:p w:rsidR="004F73BD" w:rsidRPr="00CA1D56" w:rsidRDefault="00C94AA1" w:rsidP="00C94AA1">
      <w:pPr>
        <w:spacing w:after="120"/>
        <w:ind w:left="1134" w:right="1134" w:hanging="11"/>
        <w:jc w:val="both"/>
        <w:rPr>
          <w:b/>
          <w:bCs/>
        </w:rPr>
      </w:pPr>
      <w:r w:rsidRPr="00BC5F20">
        <w:rPr>
          <w:bCs/>
        </w:rPr>
        <w:t>45.</w:t>
      </w:r>
      <w:r w:rsidRPr="00CA1D56">
        <w:rPr>
          <w:b/>
          <w:bCs/>
        </w:rPr>
        <w:tab/>
      </w:r>
      <w:r w:rsidR="004F73BD" w:rsidRPr="00CA1D56">
        <w:rPr>
          <w:b/>
          <w:bCs/>
        </w:rPr>
        <w:t>The State party should: (a) ensure that the exercise of the right to peaceful assembly is not subject to restrictions other than the ones permissible under the Covenant; (b) investigate all allegations relating to the excessive use of force by security forces and ensure that the perpetrators are prosecuted and the victims adequately compensated; (c) increase its efforts to systematically provide training to all security forces on the use of force, especially in the context of demonstrati</w:t>
      </w:r>
      <w:r w:rsidR="002214C4">
        <w:rPr>
          <w:b/>
          <w:bCs/>
        </w:rPr>
        <w:t>ons, taking due account of the Basic Principles on the Use of Force and F</w:t>
      </w:r>
      <w:r w:rsidR="004F73BD" w:rsidRPr="00CA1D56">
        <w:rPr>
          <w:b/>
          <w:bCs/>
        </w:rPr>
        <w:t>ire</w:t>
      </w:r>
      <w:r w:rsidR="002214C4">
        <w:rPr>
          <w:b/>
          <w:bCs/>
        </w:rPr>
        <w:t>arms by Law Enforcement O</w:t>
      </w:r>
      <w:r w:rsidR="004F73BD" w:rsidRPr="00CA1D56">
        <w:rPr>
          <w:b/>
          <w:bCs/>
        </w:rPr>
        <w:t>fficials.</w:t>
      </w:r>
    </w:p>
    <w:p w:rsidR="00B32EF9" w:rsidRPr="00CA1D56" w:rsidRDefault="00B32EF9" w:rsidP="00B32EF9">
      <w:pPr>
        <w:pStyle w:val="SingleTxtG"/>
        <w:rPr>
          <w:b/>
        </w:rPr>
      </w:pPr>
      <w:r w:rsidRPr="00CA1D56">
        <w:rPr>
          <w:b/>
        </w:rPr>
        <w:t>Freedom of Association</w:t>
      </w:r>
    </w:p>
    <w:p w:rsidR="00B32EF9" w:rsidRPr="00CA1D56" w:rsidRDefault="00C94AA1" w:rsidP="00C94AA1">
      <w:pPr>
        <w:spacing w:after="120"/>
        <w:ind w:left="1134" w:right="1134" w:hanging="11"/>
        <w:jc w:val="both"/>
      </w:pPr>
      <w:r w:rsidRPr="00CA1D56">
        <w:t>46.</w:t>
      </w:r>
      <w:r w:rsidRPr="00CA1D56">
        <w:tab/>
      </w:r>
      <w:r w:rsidR="00B32EF9" w:rsidRPr="00CA1D56">
        <w:t xml:space="preserve">The Committee is concerned by Articles 2, 3, 6, and 22 of Law No. 24 (1962) on Clubs and Public Welfare Societies that place restrictions on the establishment and operation of civil society organizations, including prohibiting them from engaging in political or religiously-affiliated advocacy and limiting their fundraising activities. In addition, the Committee remains concerned at reports that the State party exercises undue restrictions on the exercise of the freedom of association, including arbitrary application of the law and its terms to limit dissent and the full participation of non-governmental organizations in civil society (art. 22).  </w:t>
      </w:r>
    </w:p>
    <w:p w:rsidR="00B32EF9" w:rsidRPr="00CA1D56" w:rsidRDefault="00C94AA1" w:rsidP="00C94AA1">
      <w:pPr>
        <w:spacing w:after="120"/>
        <w:ind w:left="1134" w:right="1134" w:hanging="11"/>
        <w:jc w:val="both"/>
        <w:rPr>
          <w:b/>
        </w:rPr>
      </w:pPr>
      <w:r w:rsidRPr="00BC5F20">
        <w:t>47.</w:t>
      </w:r>
      <w:r w:rsidRPr="00BC5F20">
        <w:tab/>
      </w:r>
      <w:r w:rsidR="00B32EF9" w:rsidRPr="00CA1D56">
        <w:rPr>
          <w:b/>
        </w:rPr>
        <w:t>The State Party should: (a) repeal or revise laws restricting the right to freedom of association to bring them in conformity with the Covenant; (b) clarify the vague, broad and open-ended definition of key terms in these laws and ensure that they are not used as tools to curtail freedom of association beyond the narrow restrictions permitted in article 22(2) of the Covenant; (c) ensure that civil society organizations may operate free of undue government influence and without fear of reprisals or unlawful re</w:t>
      </w:r>
      <w:r w:rsidR="00766CCD">
        <w:rPr>
          <w:b/>
        </w:rPr>
        <w:t>strictions on their operations.</w:t>
      </w:r>
      <w:r w:rsidR="00B32EF9" w:rsidRPr="00CA1D56">
        <w:rPr>
          <w:b/>
        </w:rPr>
        <w:t xml:space="preserve"> </w:t>
      </w:r>
    </w:p>
    <w:p w:rsidR="004F73BD" w:rsidRPr="00CA1D56" w:rsidRDefault="004F73BD" w:rsidP="004F73BD">
      <w:pPr>
        <w:pStyle w:val="SingleTxtG"/>
        <w:rPr>
          <w:b/>
        </w:rPr>
      </w:pPr>
      <w:r w:rsidRPr="00CA1D56">
        <w:rPr>
          <w:b/>
        </w:rPr>
        <w:t>Participation in public life</w:t>
      </w:r>
    </w:p>
    <w:p w:rsidR="004F73BD" w:rsidRPr="00CA1D56" w:rsidRDefault="00C94AA1" w:rsidP="00C94AA1">
      <w:pPr>
        <w:spacing w:after="120"/>
        <w:ind w:left="1134" w:right="1134" w:hanging="11"/>
        <w:jc w:val="both"/>
      </w:pPr>
      <w:r w:rsidRPr="00CA1D56">
        <w:t>48.</w:t>
      </w:r>
      <w:r w:rsidRPr="00CA1D56">
        <w:tab/>
      </w:r>
      <w:r w:rsidR="004F73BD" w:rsidRPr="00CA1D56">
        <w:t xml:space="preserve">The Committee remains concerned that no legal framework regulates the existence of political parties. </w:t>
      </w:r>
      <w:r w:rsidR="00396666">
        <w:t>It</w:t>
      </w:r>
      <w:r w:rsidR="004F73BD" w:rsidRPr="00CA1D56">
        <w:t xml:space="preserve"> is </w:t>
      </w:r>
      <w:r w:rsidR="00396666">
        <w:t xml:space="preserve">also </w:t>
      </w:r>
      <w:r w:rsidR="004F73BD" w:rsidRPr="00CA1D56">
        <w:t>concerned that naturalized Kuwaiti citizens are denied the right</w:t>
      </w:r>
      <w:r w:rsidR="00765D42" w:rsidRPr="00CA1D56">
        <w:t>s</w:t>
      </w:r>
      <w:r w:rsidR="004F73BD" w:rsidRPr="00CA1D56">
        <w:t xml:space="preserve"> to vote for 20 years, to be elected as a member of the parliament and the municipality, </w:t>
      </w:r>
      <w:r w:rsidR="00765D42" w:rsidRPr="00CA1D56">
        <w:t xml:space="preserve">and </w:t>
      </w:r>
      <w:r w:rsidR="004F73BD" w:rsidRPr="00CA1D56">
        <w:t xml:space="preserve">to hold ministerial office (arts. </w:t>
      </w:r>
      <w:r w:rsidR="00A348BE" w:rsidRPr="00CA1D56">
        <w:t xml:space="preserve">22 and </w:t>
      </w:r>
      <w:r w:rsidR="004F73BD" w:rsidRPr="00CA1D56">
        <w:t>25).</w:t>
      </w:r>
    </w:p>
    <w:p w:rsidR="004F73BD" w:rsidRPr="00CA1D56" w:rsidRDefault="00C94AA1" w:rsidP="00C94AA1">
      <w:pPr>
        <w:spacing w:after="120"/>
        <w:ind w:left="1134" w:right="1134" w:hanging="11"/>
        <w:jc w:val="both"/>
        <w:rPr>
          <w:b/>
        </w:rPr>
      </w:pPr>
      <w:r w:rsidRPr="00BC5F20">
        <w:t>49.</w:t>
      </w:r>
      <w:r w:rsidRPr="00BC5F20">
        <w:tab/>
      </w:r>
      <w:r w:rsidR="004F73BD" w:rsidRPr="00CA1D56">
        <w:rPr>
          <w:b/>
        </w:rPr>
        <w:t xml:space="preserve">The State party should: (a) adopt a legal framework regulating the existence of political parties so as to enable them to participate effectively and formally in political life; and (b) eliminate disproportionate restrictions on the right to vote, be elected and take part in the conduct of public affairs of naturalized Kuwaiti citizens.  </w:t>
      </w:r>
    </w:p>
    <w:p w:rsidR="004F73BD" w:rsidRPr="00CA1D56" w:rsidRDefault="004F73BD" w:rsidP="004F73BD">
      <w:pPr>
        <w:pStyle w:val="SingleTxtG"/>
        <w:rPr>
          <w:b/>
          <w:bCs/>
        </w:rPr>
      </w:pPr>
      <w:r w:rsidRPr="00CA1D56">
        <w:rPr>
          <w:b/>
          <w:bCs/>
        </w:rPr>
        <w:t>Deprivation of citizenship</w:t>
      </w:r>
    </w:p>
    <w:p w:rsidR="004F73BD" w:rsidRPr="00CA1D56" w:rsidRDefault="00C94AA1" w:rsidP="00C94AA1">
      <w:pPr>
        <w:spacing w:after="120"/>
        <w:ind w:left="1134" w:right="1134" w:hanging="11"/>
        <w:jc w:val="both"/>
        <w:rPr>
          <w:bCs/>
        </w:rPr>
      </w:pPr>
      <w:r w:rsidRPr="00CA1D56">
        <w:rPr>
          <w:bCs/>
        </w:rPr>
        <w:t>50.</w:t>
      </w:r>
      <w:r w:rsidRPr="00CA1D56">
        <w:rPr>
          <w:bCs/>
        </w:rPr>
        <w:tab/>
      </w:r>
      <w:r w:rsidR="004F73BD" w:rsidRPr="00CA1D56">
        <w:rPr>
          <w:bCs/>
        </w:rPr>
        <w:t>The Committee is concerned about the possibility, under article 13 of the Nationality Law (1959), to revoke Kuwaiti citizenship for “undermining the social or economic system” or “threatening the higher interests of the State or its security”</w:t>
      </w:r>
      <w:r w:rsidR="00A348BE" w:rsidRPr="00CA1D56">
        <w:rPr>
          <w:bCs/>
        </w:rPr>
        <w:t xml:space="preserve">, which </w:t>
      </w:r>
      <w:r w:rsidR="004F73BD" w:rsidRPr="00CA1D56">
        <w:rPr>
          <w:bCs/>
        </w:rPr>
        <w:t xml:space="preserve">has increasingly </w:t>
      </w:r>
      <w:r w:rsidR="00765D42" w:rsidRPr="00CA1D56">
        <w:rPr>
          <w:bCs/>
        </w:rPr>
        <w:t xml:space="preserve">been used </w:t>
      </w:r>
      <w:r w:rsidR="004F73BD" w:rsidRPr="00CA1D56">
        <w:rPr>
          <w:bCs/>
        </w:rPr>
        <w:t>arbitrarily</w:t>
      </w:r>
      <w:r w:rsidR="00765D42" w:rsidRPr="00CA1D56">
        <w:rPr>
          <w:bCs/>
        </w:rPr>
        <w:t xml:space="preserve"> </w:t>
      </w:r>
      <w:r w:rsidR="004F73BD" w:rsidRPr="00CA1D56">
        <w:rPr>
          <w:bCs/>
        </w:rPr>
        <w:t xml:space="preserve">for politically-motivated reasons against governmental critics (arts. </w:t>
      </w:r>
      <w:r w:rsidR="00A348BE" w:rsidRPr="00CA1D56">
        <w:rPr>
          <w:bCs/>
        </w:rPr>
        <w:t xml:space="preserve">2, 19, 21 and </w:t>
      </w:r>
      <w:r w:rsidR="004F73BD" w:rsidRPr="00CA1D56">
        <w:rPr>
          <w:bCs/>
        </w:rPr>
        <w:t xml:space="preserve">24). </w:t>
      </w:r>
    </w:p>
    <w:p w:rsidR="004F73BD" w:rsidRPr="00CA1D56" w:rsidRDefault="00C94AA1" w:rsidP="00C94AA1">
      <w:pPr>
        <w:spacing w:after="120"/>
        <w:ind w:left="1134" w:right="1134" w:hanging="11"/>
        <w:jc w:val="both"/>
        <w:rPr>
          <w:b/>
          <w:bCs/>
        </w:rPr>
      </w:pPr>
      <w:r w:rsidRPr="00BC5F20">
        <w:rPr>
          <w:bCs/>
        </w:rPr>
        <w:t>51.</w:t>
      </w:r>
      <w:r w:rsidRPr="00BC5F20">
        <w:rPr>
          <w:bCs/>
        </w:rPr>
        <w:tab/>
      </w:r>
      <w:r w:rsidR="004F73BD" w:rsidRPr="00CA1D56">
        <w:rPr>
          <w:b/>
          <w:bCs/>
        </w:rPr>
        <w:t xml:space="preserve">The State party should amend the 1959 Nationality Law to ensure that the peaceful exercise of the right to freedom of opinion and expression, association and assembly can never be used as a ground for the revocation of citizenship, review cases of withdrawal of nationality </w:t>
      </w:r>
      <w:r w:rsidR="00765D42" w:rsidRPr="00CA1D56">
        <w:rPr>
          <w:b/>
          <w:bCs/>
        </w:rPr>
        <w:t xml:space="preserve">to ensure </w:t>
      </w:r>
      <w:r w:rsidR="004F73BD" w:rsidRPr="00CA1D56">
        <w:rPr>
          <w:b/>
          <w:bCs/>
        </w:rPr>
        <w:t>that</w:t>
      </w:r>
      <w:r w:rsidR="00765D42" w:rsidRPr="00CA1D56">
        <w:rPr>
          <w:b/>
          <w:bCs/>
        </w:rPr>
        <w:t xml:space="preserve"> they do not</w:t>
      </w:r>
      <w:r w:rsidR="004F73BD" w:rsidRPr="00CA1D56">
        <w:rPr>
          <w:b/>
          <w:bCs/>
        </w:rPr>
        <w:t xml:space="preserve"> contravene rights spelled out in the Covenant, and ensure that decisions </w:t>
      </w:r>
      <w:r w:rsidR="00765D42" w:rsidRPr="00CA1D56">
        <w:rPr>
          <w:b/>
          <w:bCs/>
        </w:rPr>
        <w:t>are subject to judicial review with full protection of the rights to fair legal proceedings</w:t>
      </w:r>
      <w:r w:rsidR="004F73BD" w:rsidRPr="00CA1D56">
        <w:rPr>
          <w:b/>
          <w:bCs/>
        </w:rPr>
        <w:t>. </w:t>
      </w:r>
    </w:p>
    <w:p w:rsidR="004F73BD" w:rsidRPr="00BC5F20" w:rsidRDefault="004F73BD" w:rsidP="00BC5F20">
      <w:pPr>
        <w:pStyle w:val="H1G"/>
      </w:pPr>
      <w:r w:rsidRPr="00CA1D56">
        <w:tab/>
        <w:t>D.</w:t>
      </w:r>
      <w:r w:rsidRPr="00CA1D56">
        <w:tab/>
        <w:t>Dissemination of information relating to the Covenant</w:t>
      </w:r>
    </w:p>
    <w:p w:rsidR="004F73BD" w:rsidRPr="00091CA1" w:rsidRDefault="00C94AA1" w:rsidP="00C94AA1">
      <w:pPr>
        <w:spacing w:after="120"/>
        <w:ind w:left="1134" w:right="1134" w:hanging="11"/>
        <w:jc w:val="both"/>
        <w:rPr>
          <w:b/>
        </w:rPr>
      </w:pPr>
      <w:r w:rsidRPr="00091CA1">
        <w:rPr>
          <w:b/>
        </w:rPr>
        <w:t>52.</w:t>
      </w:r>
      <w:r w:rsidRPr="00091CA1">
        <w:rPr>
          <w:b/>
        </w:rPr>
        <w:tab/>
      </w:r>
      <w:r w:rsidR="004F73BD" w:rsidRPr="00091CA1">
        <w:rPr>
          <w:rFonts w:eastAsia="SimSun"/>
          <w:b/>
          <w:lang w:val="en-US" w:eastAsia="zh-CN"/>
        </w:rPr>
        <w:t>The State party should widely disseminate the Covenant, its third periodic report, the written replies to the Committee’s list of issues and the present concluding</w:t>
      </w:r>
      <w:r w:rsidR="004F73BD" w:rsidRPr="005810F0">
        <w:rPr>
          <w:b/>
          <w:bCs/>
          <w:lang w:val="en-US"/>
        </w:rPr>
        <w:t xml:space="preserve"> </w:t>
      </w:r>
      <w:r w:rsidR="004F73BD" w:rsidRPr="00091CA1">
        <w:rPr>
          <w:rFonts w:eastAsia="SimSun"/>
          <w:b/>
          <w:lang w:val="en-US" w:eastAsia="zh-CN"/>
        </w:rPr>
        <w:t>observations with a view to raising awareness of the rights enshrined in the Covenant among the judicial, legislative and administrative</w:t>
      </w:r>
      <w:r w:rsidR="004F73BD" w:rsidRPr="005810F0">
        <w:rPr>
          <w:b/>
          <w:bCs/>
          <w:lang w:val="en-US"/>
        </w:rPr>
        <w:t xml:space="preserve"> </w:t>
      </w:r>
      <w:r w:rsidR="004F73BD" w:rsidRPr="00091CA1">
        <w:rPr>
          <w:rFonts w:eastAsia="SimSun"/>
          <w:b/>
          <w:lang w:val="en-US" w:eastAsia="zh-CN"/>
        </w:rPr>
        <w:t xml:space="preserve">authorities, civil society and non-governmental organizations operating in the country, and the general public. </w:t>
      </w:r>
    </w:p>
    <w:p w:rsidR="004F73BD" w:rsidRPr="00091CA1" w:rsidRDefault="00C94AA1" w:rsidP="00C94AA1">
      <w:pPr>
        <w:spacing w:after="120"/>
        <w:ind w:left="1134" w:right="1134" w:hanging="11"/>
        <w:jc w:val="both"/>
        <w:rPr>
          <w:b/>
        </w:rPr>
      </w:pPr>
      <w:r w:rsidRPr="00091CA1">
        <w:rPr>
          <w:b/>
        </w:rPr>
        <w:t>53.</w:t>
      </w:r>
      <w:r w:rsidRPr="00091CA1">
        <w:rPr>
          <w:b/>
        </w:rPr>
        <w:tab/>
      </w:r>
      <w:r w:rsidR="004F73BD" w:rsidRPr="00091CA1">
        <w:rPr>
          <w:b/>
        </w:rPr>
        <w:t>In accordance with rule 71, paragraph 5, of the Committee’s rules of procedure, the State party is requested to provide, within one year of the adoption of the present concluding observations,</w:t>
      </w:r>
      <w:r w:rsidR="004F73BD" w:rsidRPr="00091CA1">
        <w:rPr>
          <w:b/>
          <w:bCs/>
        </w:rPr>
        <w:t xml:space="preserve"> information on the implementation of the recommendations</w:t>
      </w:r>
      <w:r w:rsidR="004F73BD" w:rsidRPr="00091CA1">
        <w:rPr>
          <w:b/>
        </w:rPr>
        <w:t xml:space="preserve"> made by the Committee in paragraphs </w:t>
      </w:r>
      <w:r w:rsidR="00536456" w:rsidRPr="00091CA1">
        <w:rPr>
          <w:b/>
        </w:rPr>
        <w:t xml:space="preserve">11 </w:t>
      </w:r>
      <w:r w:rsidR="004F73BD" w:rsidRPr="00091CA1">
        <w:rPr>
          <w:b/>
        </w:rPr>
        <w:t>(</w:t>
      </w:r>
      <w:r w:rsidR="005810F0" w:rsidRPr="005810F0">
        <w:rPr>
          <w:b/>
          <w:bCs/>
        </w:rPr>
        <w:t>discrimination against “</w:t>
      </w:r>
      <w:proofErr w:type="spellStart"/>
      <w:r w:rsidR="005810F0" w:rsidRPr="005810F0">
        <w:rPr>
          <w:b/>
          <w:bCs/>
        </w:rPr>
        <w:t>Bidoon</w:t>
      </w:r>
      <w:proofErr w:type="spellEnd"/>
      <w:r w:rsidR="005810F0" w:rsidRPr="005810F0">
        <w:rPr>
          <w:b/>
          <w:bCs/>
        </w:rPr>
        <w:t>”</w:t>
      </w:r>
      <w:r w:rsidR="004F73BD" w:rsidRPr="00091CA1">
        <w:rPr>
          <w:b/>
        </w:rPr>
        <w:t xml:space="preserve">), </w:t>
      </w:r>
      <w:r w:rsidR="00536456" w:rsidRPr="00091CA1">
        <w:rPr>
          <w:b/>
        </w:rPr>
        <w:t xml:space="preserve">43 </w:t>
      </w:r>
      <w:r w:rsidR="004F73BD" w:rsidRPr="00091CA1">
        <w:rPr>
          <w:b/>
        </w:rPr>
        <w:t>(</w:t>
      </w:r>
      <w:r w:rsidR="005810F0" w:rsidRPr="005810F0">
        <w:rPr>
          <w:b/>
          <w:bCs/>
        </w:rPr>
        <w:t>freedom of expression</w:t>
      </w:r>
      <w:r w:rsidR="004F73BD" w:rsidRPr="00091CA1">
        <w:rPr>
          <w:b/>
        </w:rPr>
        <w:t xml:space="preserve">) and </w:t>
      </w:r>
      <w:r w:rsidR="00536456" w:rsidRPr="00091CA1">
        <w:rPr>
          <w:b/>
        </w:rPr>
        <w:t xml:space="preserve">45 </w:t>
      </w:r>
      <w:r w:rsidR="004F73BD" w:rsidRPr="00091CA1">
        <w:rPr>
          <w:b/>
        </w:rPr>
        <w:t>(</w:t>
      </w:r>
      <w:r w:rsidR="005810F0" w:rsidRPr="005810F0">
        <w:rPr>
          <w:b/>
          <w:bCs/>
        </w:rPr>
        <w:t>freedom of peaceful assembly and excessive use of force</w:t>
      </w:r>
      <w:r w:rsidR="004F73BD" w:rsidRPr="00091CA1">
        <w:rPr>
          <w:b/>
        </w:rPr>
        <w:t>) above.</w:t>
      </w:r>
      <w:bookmarkStart w:id="0" w:name="_GoBack"/>
      <w:r w:rsidR="00536456" w:rsidRPr="00091CA1">
        <w:rPr>
          <w:b/>
        </w:rPr>
        <w:t xml:space="preserve"> </w:t>
      </w:r>
      <w:bookmarkEnd w:id="0"/>
    </w:p>
    <w:p w:rsidR="004F73BD" w:rsidRPr="00091CA1" w:rsidRDefault="00C94AA1" w:rsidP="00C94AA1">
      <w:pPr>
        <w:spacing w:after="120"/>
        <w:ind w:left="1134" w:right="1134" w:hanging="11"/>
        <w:jc w:val="both"/>
        <w:rPr>
          <w:b/>
          <w:lang w:eastAsia="en-GB"/>
        </w:rPr>
      </w:pPr>
      <w:r w:rsidRPr="00091CA1">
        <w:rPr>
          <w:b/>
          <w:lang w:eastAsia="en-GB"/>
        </w:rPr>
        <w:t>54.</w:t>
      </w:r>
      <w:r w:rsidRPr="00091CA1">
        <w:rPr>
          <w:b/>
          <w:lang w:eastAsia="en-GB"/>
        </w:rPr>
        <w:tab/>
      </w:r>
      <w:r w:rsidR="004F73BD" w:rsidRPr="00091CA1">
        <w:rPr>
          <w:b/>
        </w:rPr>
        <w:t>The Committee requests the State party to submit its next periodic report by</w:t>
      </w:r>
      <w:r w:rsidR="005F4648" w:rsidRPr="00091CA1">
        <w:rPr>
          <w:b/>
        </w:rPr>
        <w:t xml:space="preserve"> 15 July 2020</w:t>
      </w:r>
      <w:r w:rsidR="004F73BD" w:rsidRPr="00091CA1">
        <w:rPr>
          <w:b/>
        </w:rPr>
        <w:t xml:space="preserve"> and to include in that report specific up-to-date information on the implementation of the recommendations made in the present concluding observations and of the Covenant as a whole. The Committee also requests the State party, in preparing the report, to broadly consult civil society and non-governmental organizations operating in the country. In accordance with General Assembly resolution 68/268, the word limit for the report is 21,200 words. Alternatively, the Committee invites the State party to agree, by 1</w:t>
      </w:r>
      <w:r w:rsidR="005F4648" w:rsidRPr="00091CA1">
        <w:rPr>
          <w:b/>
        </w:rPr>
        <w:t>5 July 2017</w:t>
      </w:r>
      <w:r w:rsidR="004F73BD" w:rsidRPr="00091CA1">
        <w:rPr>
          <w:b/>
        </w:rPr>
        <w:t>, to use its simplified reporting procedure, whereby the Committee transmits a list of issues to the State party prior to the submission of its periodic report. The State party’s response to this list of issues will then constitute the next periodic report to be submitted under article 40 of the Covenant.</w:t>
      </w:r>
    </w:p>
    <w:p w:rsidR="004F73BD" w:rsidRPr="00CA1D56" w:rsidRDefault="00CA1D56" w:rsidP="00CA1D56">
      <w:pPr>
        <w:pStyle w:val="SingleTxtG"/>
        <w:spacing w:before="240" w:after="0"/>
        <w:ind w:left="1854"/>
        <w:jc w:val="center"/>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p>
    <w:sectPr w:rsidR="004F73BD" w:rsidRPr="00CA1D56" w:rsidSect="00524418">
      <w:footerReference w:type="even" r:id="rId9"/>
      <w:footerReference w:type="default" r:id="rId10"/>
      <w:endnotePr>
        <w:numFmt w:val="decimal"/>
      </w:endnotePr>
      <w:pgSz w:w="11907" w:h="16840" w:code="9"/>
      <w:pgMar w:top="1701" w:right="1134" w:bottom="1985"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7A1" w:rsidRDefault="007C77A1"/>
  </w:endnote>
  <w:endnote w:type="continuationSeparator" w:id="0">
    <w:p w:rsidR="007C77A1" w:rsidRDefault="007C77A1"/>
  </w:endnote>
  <w:endnote w:type="continuationNotice" w:id="1">
    <w:p w:rsidR="007C77A1" w:rsidRDefault="007C7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AE" w:rsidRPr="006959AE" w:rsidRDefault="006959AE" w:rsidP="006959AE">
    <w:pPr>
      <w:pStyle w:val="Footer"/>
      <w:tabs>
        <w:tab w:val="right" w:pos="9638"/>
      </w:tabs>
    </w:pPr>
    <w:r w:rsidRPr="006959AE">
      <w:rPr>
        <w:b/>
        <w:sz w:val="18"/>
      </w:rPr>
      <w:fldChar w:fldCharType="begin"/>
    </w:r>
    <w:r w:rsidRPr="006959AE">
      <w:rPr>
        <w:b/>
        <w:sz w:val="18"/>
      </w:rPr>
      <w:instrText xml:space="preserve"> PAGE  \* MERGEFORMAT </w:instrText>
    </w:r>
    <w:r w:rsidRPr="006959AE">
      <w:rPr>
        <w:b/>
        <w:sz w:val="18"/>
      </w:rPr>
      <w:fldChar w:fldCharType="separate"/>
    </w:r>
    <w:r w:rsidR="00AA348E">
      <w:rPr>
        <w:b/>
        <w:noProof/>
        <w:sz w:val="18"/>
      </w:rPr>
      <w:t>2</w:t>
    </w:r>
    <w:r w:rsidRPr="006959A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AE" w:rsidRPr="006959AE" w:rsidRDefault="006959AE" w:rsidP="006959AE">
    <w:pPr>
      <w:pStyle w:val="Footer"/>
      <w:tabs>
        <w:tab w:val="right" w:pos="9638"/>
      </w:tabs>
      <w:rPr>
        <w:b/>
        <w:sz w:val="18"/>
      </w:rPr>
    </w:pPr>
    <w:r>
      <w:tab/>
    </w:r>
    <w:r w:rsidRPr="006959AE">
      <w:rPr>
        <w:b/>
        <w:sz w:val="18"/>
      </w:rPr>
      <w:fldChar w:fldCharType="begin"/>
    </w:r>
    <w:r w:rsidRPr="006959AE">
      <w:rPr>
        <w:b/>
        <w:sz w:val="18"/>
      </w:rPr>
      <w:instrText xml:space="preserve"> PAGE  \* MERGEFORMAT </w:instrText>
    </w:r>
    <w:r w:rsidRPr="006959AE">
      <w:rPr>
        <w:b/>
        <w:sz w:val="18"/>
      </w:rPr>
      <w:fldChar w:fldCharType="separate"/>
    </w:r>
    <w:r w:rsidR="00AA348E">
      <w:rPr>
        <w:b/>
        <w:noProof/>
        <w:sz w:val="18"/>
      </w:rPr>
      <w:t>3</w:t>
    </w:r>
    <w:r w:rsidRPr="006959A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7A1" w:rsidRPr="000B175B" w:rsidRDefault="007C77A1" w:rsidP="000B175B">
      <w:pPr>
        <w:tabs>
          <w:tab w:val="right" w:pos="2155"/>
        </w:tabs>
        <w:spacing w:after="80"/>
        <w:ind w:left="680"/>
        <w:rPr>
          <w:u w:val="single"/>
        </w:rPr>
      </w:pPr>
      <w:r>
        <w:rPr>
          <w:u w:val="single"/>
        </w:rPr>
        <w:tab/>
      </w:r>
    </w:p>
  </w:footnote>
  <w:footnote w:type="continuationSeparator" w:id="0">
    <w:p w:rsidR="007C77A1" w:rsidRPr="00FC68B7" w:rsidRDefault="007C77A1" w:rsidP="00FC68B7">
      <w:pPr>
        <w:tabs>
          <w:tab w:val="left" w:pos="2155"/>
        </w:tabs>
        <w:spacing w:after="80"/>
        <w:ind w:left="680"/>
        <w:rPr>
          <w:u w:val="single"/>
        </w:rPr>
      </w:pPr>
      <w:r>
        <w:rPr>
          <w:u w:val="single"/>
        </w:rPr>
        <w:tab/>
      </w:r>
    </w:p>
  </w:footnote>
  <w:footnote w:type="continuationNotice" w:id="1">
    <w:p w:rsidR="007C77A1" w:rsidRDefault="007C77A1"/>
  </w:footnote>
  <w:footnote w:id="2">
    <w:p w:rsidR="00120941" w:rsidRPr="00E865C3" w:rsidRDefault="00120941" w:rsidP="00120941">
      <w:pPr>
        <w:pStyle w:val="FootnoteText"/>
      </w:pPr>
      <w:r>
        <w:rPr>
          <w:rStyle w:val="FootnoteReference"/>
        </w:rPr>
        <w:tab/>
      </w:r>
      <w:r>
        <w:rPr>
          <w:rStyle w:val="FootnoteReference"/>
          <w:sz w:val="20"/>
        </w:rPr>
        <w:t>*</w:t>
      </w:r>
      <w:r>
        <w:tab/>
        <w:t>The present document is being issued without formal editing.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60265C"/>
    <w:multiLevelType w:val="hybridMultilevel"/>
    <w:tmpl w:val="4D7E46E4"/>
    <w:lvl w:ilvl="0" w:tplc="BC9E9BC0">
      <w:start w:val="1"/>
      <w:numFmt w:val="lowerLetter"/>
      <w:lvlText w:val="(%1)"/>
      <w:lvlJc w:val="left"/>
      <w:pPr>
        <w:ind w:left="2421" w:hanging="360"/>
      </w:pPr>
      <w:rPr>
        <w:rFonts w:hint="default"/>
      </w:rPr>
    </w:lvl>
    <w:lvl w:ilvl="1" w:tplc="0E5887F0">
      <w:numFmt w:val="bullet"/>
      <w:lvlText w:val="-"/>
      <w:lvlJc w:val="left"/>
      <w:pPr>
        <w:ind w:left="3471" w:hanging="690"/>
      </w:pPr>
      <w:rPr>
        <w:rFonts w:ascii="Times New Roman" w:eastAsia="Times New Roman" w:hAnsi="Times New Roman" w:cs="Times New Roman"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
    <w:nsid w:val="1455463F"/>
    <w:multiLevelType w:val="hybridMultilevel"/>
    <w:tmpl w:val="A8EAC54A"/>
    <w:lvl w:ilvl="0" w:tplc="07ACB18A">
      <w:start w:val="1"/>
      <w:numFmt w:val="lowerLetter"/>
      <w:lvlText w:val="(%1)"/>
      <w:lvlJc w:val="left"/>
      <w:pPr>
        <w:ind w:left="1452" w:hanging="88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7B11D31"/>
    <w:multiLevelType w:val="hybridMultilevel"/>
    <w:tmpl w:val="5150DBF2"/>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A65286"/>
    <w:multiLevelType w:val="hybridMultilevel"/>
    <w:tmpl w:val="A4C0C8C0"/>
    <w:lvl w:ilvl="0" w:tplc="FAB45F68">
      <w:start w:val="4"/>
      <w:numFmt w:val="upperLetter"/>
      <w:lvlText w:val="%1."/>
      <w:lvlJc w:val="left"/>
      <w:pPr>
        <w:ind w:left="1497" w:hanging="360"/>
      </w:pPr>
      <w:rPr>
        <w:rFonts w:eastAsia="Times New Roman" w:hint="default"/>
        <w:sz w:val="24"/>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5">
    <w:nsid w:val="4B774E7B"/>
    <w:multiLevelType w:val="hybridMultilevel"/>
    <w:tmpl w:val="4DA40314"/>
    <w:lvl w:ilvl="0" w:tplc="6C4E5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CA0023"/>
    <w:multiLevelType w:val="hybridMultilevel"/>
    <w:tmpl w:val="2340DA24"/>
    <w:lvl w:ilvl="0" w:tplc="C0EE1B0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506E4978"/>
    <w:multiLevelType w:val="hybridMultilevel"/>
    <w:tmpl w:val="56AC9F12"/>
    <w:lvl w:ilvl="0" w:tplc="DEA2889A">
      <w:start w:val="3"/>
      <w:numFmt w:val="decimal"/>
      <w:lvlText w:val="%1."/>
      <w:lvlJc w:val="left"/>
      <w:pPr>
        <w:tabs>
          <w:tab w:val="num" w:pos="1655"/>
        </w:tabs>
        <w:ind w:left="1655" w:hanging="555"/>
      </w:pPr>
      <w:rPr>
        <w:rFonts w:hint="default"/>
      </w:rPr>
    </w:lvl>
    <w:lvl w:ilvl="1" w:tplc="BC9E9BC0">
      <w:start w:val="1"/>
      <w:numFmt w:val="lowerLetter"/>
      <w:lvlText w:val="(%2)"/>
      <w:lvlJc w:val="left"/>
      <w:pPr>
        <w:tabs>
          <w:tab w:val="num" w:pos="2424"/>
        </w:tabs>
        <w:ind w:left="2424" w:hanging="570"/>
      </w:pPr>
      <w:rPr>
        <w:rFonts w:hint="default"/>
      </w:rPr>
    </w:lvl>
    <w:lvl w:ilvl="2" w:tplc="0409001B">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53A937EB"/>
    <w:multiLevelType w:val="hybridMultilevel"/>
    <w:tmpl w:val="CCE282F0"/>
    <w:lvl w:ilvl="0" w:tplc="08090017">
      <w:start w:val="1"/>
      <w:numFmt w:val="lowerLetter"/>
      <w:lvlText w:val="%1)"/>
      <w:lvlJc w:val="left"/>
      <w:pPr>
        <w:ind w:left="2426" w:hanging="360"/>
      </w:pPr>
    </w:lvl>
    <w:lvl w:ilvl="1" w:tplc="08090019" w:tentative="1">
      <w:start w:val="1"/>
      <w:numFmt w:val="lowerLetter"/>
      <w:lvlText w:val="%2."/>
      <w:lvlJc w:val="left"/>
      <w:pPr>
        <w:ind w:left="3146" w:hanging="360"/>
      </w:pPr>
    </w:lvl>
    <w:lvl w:ilvl="2" w:tplc="0809001B" w:tentative="1">
      <w:start w:val="1"/>
      <w:numFmt w:val="lowerRoman"/>
      <w:lvlText w:val="%3."/>
      <w:lvlJc w:val="right"/>
      <w:pPr>
        <w:ind w:left="3866" w:hanging="180"/>
      </w:pPr>
    </w:lvl>
    <w:lvl w:ilvl="3" w:tplc="0809000F" w:tentative="1">
      <w:start w:val="1"/>
      <w:numFmt w:val="decimal"/>
      <w:lvlText w:val="%4."/>
      <w:lvlJc w:val="left"/>
      <w:pPr>
        <w:ind w:left="4586" w:hanging="360"/>
      </w:pPr>
    </w:lvl>
    <w:lvl w:ilvl="4" w:tplc="08090019" w:tentative="1">
      <w:start w:val="1"/>
      <w:numFmt w:val="lowerLetter"/>
      <w:lvlText w:val="%5."/>
      <w:lvlJc w:val="left"/>
      <w:pPr>
        <w:ind w:left="5306" w:hanging="360"/>
      </w:pPr>
    </w:lvl>
    <w:lvl w:ilvl="5" w:tplc="0809001B" w:tentative="1">
      <w:start w:val="1"/>
      <w:numFmt w:val="lowerRoman"/>
      <w:lvlText w:val="%6."/>
      <w:lvlJc w:val="right"/>
      <w:pPr>
        <w:ind w:left="6026" w:hanging="180"/>
      </w:pPr>
    </w:lvl>
    <w:lvl w:ilvl="6" w:tplc="0809000F" w:tentative="1">
      <w:start w:val="1"/>
      <w:numFmt w:val="decimal"/>
      <w:lvlText w:val="%7."/>
      <w:lvlJc w:val="left"/>
      <w:pPr>
        <w:ind w:left="6746" w:hanging="360"/>
      </w:pPr>
    </w:lvl>
    <w:lvl w:ilvl="7" w:tplc="08090019" w:tentative="1">
      <w:start w:val="1"/>
      <w:numFmt w:val="lowerLetter"/>
      <w:lvlText w:val="%8."/>
      <w:lvlJc w:val="left"/>
      <w:pPr>
        <w:ind w:left="7466" w:hanging="360"/>
      </w:pPr>
    </w:lvl>
    <w:lvl w:ilvl="8" w:tplc="0809001B" w:tentative="1">
      <w:start w:val="1"/>
      <w:numFmt w:val="lowerRoman"/>
      <w:lvlText w:val="%9."/>
      <w:lvlJc w:val="right"/>
      <w:pPr>
        <w:ind w:left="8186" w:hanging="180"/>
      </w:pPr>
    </w:lvl>
  </w:abstractNum>
  <w:abstractNum w:abstractNumId="9">
    <w:nsid w:val="56067A78"/>
    <w:multiLevelType w:val="hybridMultilevel"/>
    <w:tmpl w:val="85B28D54"/>
    <w:lvl w:ilvl="0" w:tplc="69BAA1E0">
      <w:start w:val="1"/>
      <w:numFmt w:val="decimal"/>
      <w:lvlText w:val="%1."/>
      <w:lvlJc w:val="left"/>
      <w:pPr>
        <w:ind w:left="1854" w:hanging="360"/>
      </w:pPr>
      <w:rPr>
        <w:i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53F37A0"/>
    <w:multiLevelType w:val="hybridMultilevel"/>
    <w:tmpl w:val="CC4898CC"/>
    <w:lvl w:ilvl="0" w:tplc="E4A4FD70">
      <w:start w:val="2"/>
      <w:numFmt w:val="upperLetter"/>
      <w:lvlText w:val="%1."/>
      <w:lvlJc w:val="left"/>
      <w:pPr>
        <w:tabs>
          <w:tab w:val="num" w:pos="1137"/>
        </w:tabs>
        <w:ind w:left="1137" w:hanging="570"/>
      </w:pPr>
      <w:rPr>
        <w:rFonts w:hint="default"/>
      </w:rPr>
    </w:lvl>
    <w:lvl w:ilvl="1" w:tplc="56461E72">
      <w:start w:val="1"/>
      <w:numFmt w:val="lowerRoman"/>
      <w:lvlText w:val="(%2)"/>
      <w:lvlJc w:val="left"/>
      <w:pPr>
        <w:tabs>
          <w:tab w:val="num" w:pos="1647"/>
        </w:tabs>
        <w:ind w:left="1647" w:hanging="360"/>
      </w:pPr>
      <w:rPr>
        <w:rFonts w:ascii="Times New Roman" w:eastAsia="Times New Roman" w:hAnsi="Times New Roman" w:cs="Times New Roman"/>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77413857"/>
    <w:multiLevelType w:val="hybridMultilevel"/>
    <w:tmpl w:val="B1CA15A6"/>
    <w:lvl w:ilvl="0" w:tplc="19345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1"/>
  </w:num>
  <w:num w:numId="5">
    <w:abstractNumId w:val="4"/>
  </w:num>
  <w:num w:numId="6">
    <w:abstractNumId w:val="2"/>
  </w:num>
  <w:num w:numId="7">
    <w:abstractNumId w:val="6"/>
  </w:num>
  <w:num w:numId="8">
    <w:abstractNumId w:val="12"/>
  </w:num>
  <w:num w:numId="9">
    <w:abstractNumId w:val="5"/>
  </w:num>
  <w:num w:numId="10">
    <w:abstractNumId w:val="8"/>
  </w:num>
  <w:num w:numId="11">
    <w:abstractNumId w:val="3"/>
  </w:num>
  <w:num w:numId="12">
    <w:abstractNumId w:val="1"/>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AE"/>
    <w:rsid w:val="000272B3"/>
    <w:rsid w:val="00041E12"/>
    <w:rsid w:val="00050F6B"/>
    <w:rsid w:val="00057E97"/>
    <w:rsid w:val="00060C3A"/>
    <w:rsid w:val="00072C8C"/>
    <w:rsid w:val="000733B5"/>
    <w:rsid w:val="00081815"/>
    <w:rsid w:val="00091CA1"/>
    <w:rsid w:val="000931C0"/>
    <w:rsid w:val="000B175B"/>
    <w:rsid w:val="000B3A0F"/>
    <w:rsid w:val="000B4EF7"/>
    <w:rsid w:val="000C2C03"/>
    <w:rsid w:val="000C2D2E"/>
    <w:rsid w:val="000E0415"/>
    <w:rsid w:val="000E47F5"/>
    <w:rsid w:val="001103AA"/>
    <w:rsid w:val="00120941"/>
    <w:rsid w:val="00165F3A"/>
    <w:rsid w:val="00183968"/>
    <w:rsid w:val="001A47DD"/>
    <w:rsid w:val="001A6686"/>
    <w:rsid w:val="001B4B04"/>
    <w:rsid w:val="001C6663"/>
    <w:rsid w:val="001C7895"/>
    <w:rsid w:val="001C7D5E"/>
    <w:rsid w:val="001D0C8C"/>
    <w:rsid w:val="001D26DF"/>
    <w:rsid w:val="001D3A03"/>
    <w:rsid w:val="001D3ECB"/>
    <w:rsid w:val="001E5437"/>
    <w:rsid w:val="00202DA8"/>
    <w:rsid w:val="00211E0B"/>
    <w:rsid w:val="002214C4"/>
    <w:rsid w:val="0023210C"/>
    <w:rsid w:val="002360D3"/>
    <w:rsid w:val="00267F5F"/>
    <w:rsid w:val="00271662"/>
    <w:rsid w:val="00286B4D"/>
    <w:rsid w:val="002C512B"/>
    <w:rsid w:val="002D53E5"/>
    <w:rsid w:val="002E492C"/>
    <w:rsid w:val="002F175C"/>
    <w:rsid w:val="0030207E"/>
    <w:rsid w:val="003229D8"/>
    <w:rsid w:val="00352709"/>
    <w:rsid w:val="00367567"/>
    <w:rsid w:val="00371178"/>
    <w:rsid w:val="0038336C"/>
    <w:rsid w:val="00396666"/>
    <w:rsid w:val="003A6810"/>
    <w:rsid w:val="003C1A74"/>
    <w:rsid w:val="003C2CC4"/>
    <w:rsid w:val="003C4918"/>
    <w:rsid w:val="003D4B23"/>
    <w:rsid w:val="003F2061"/>
    <w:rsid w:val="004074CD"/>
    <w:rsid w:val="00410C89"/>
    <w:rsid w:val="004240B2"/>
    <w:rsid w:val="00426B9B"/>
    <w:rsid w:val="004325CB"/>
    <w:rsid w:val="00436B33"/>
    <w:rsid w:val="00442A83"/>
    <w:rsid w:val="0045495B"/>
    <w:rsid w:val="00487488"/>
    <w:rsid w:val="004A6454"/>
    <w:rsid w:val="004F73BD"/>
    <w:rsid w:val="0052136D"/>
    <w:rsid w:val="00524418"/>
    <w:rsid w:val="0052775E"/>
    <w:rsid w:val="00536456"/>
    <w:rsid w:val="005420F2"/>
    <w:rsid w:val="005628B6"/>
    <w:rsid w:val="005810F0"/>
    <w:rsid w:val="005848B3"/>
    <w:rsid w:val="00590F87"/>
    <w:rsid w:val="00592C4A"/>
    <w:rsid w:val="005B3DB3"/>
    <w:rsid w:val="005B786A"/>
    <w:rsid w:val="005E59E6"/>
    <w:rsid w:val="005F4648"/>
    <w:rsid w:val="005F7717"/>
    <w:rsid w:val="005F7B75"/>
    <w:rsid w:val="006001EE"/>
    <w:rsid w:val="00605042"/>
    <w:rsid w:val="00611FC4"/>
    <w:rsid w:val="006176FB"/>
    <w:rsid w:val="00640B26"/>
    <w:rsid w:val="00646473"/>
    <w:rsid w:val="00652D0A"/>
    <w:rsid w:val="00662BB6"/>
    <w:rsid w:val="00664CE8"/>
    <w:rsid w:val="00684C21"/>
    <w:rsid w:val="006959AE"/>
    <w:rsid w:val="006D37AF"/>
    <w:rsid w:val="006D51D0"/>
    <w:rsid w:val="006D561B"/>
    <w:rsid w:val="006E564B"/>
    <w:rsid w:val="006E7191"/>
    <w:rsid w:val="00703577"/>
    <w:rsid w:val="007145D7"/>
    <w:rsid w:val="00724991"/>
    <w:rsid w:val="0072632A"/>
    <w:rsid w:val="007327D5"/>
    <w:rsid w:val="007629C8"/>
    <w:rsid w:val="00765D42"/>
    <w:rsid w:val="00766CCD"/>
    <w:rsid w:val="00786DBA"/>
    <w:rsid w:val="007B6BA5"/>
    <w:rsid w:val="007B794C"/>
    <w:rsid w:val="007C3390"/>
    <w:rsid w:val="007C4F4B"/>
    <w:rsid w:val="007C77A1"/>
    <w:rsid w:val="007C784F"/>
    <w:rsid w:val="007E0B2D"/>
    <w:rsid w:val="007F6611"/>
    <w:rsid w:val="0080337E"/>
    <w:rsid w:val="008105B8"/>
    <w:rsid w:val="008242D7"/>
    <w:rsid w:val="008257B1"/>
    <w:rsid w:val="00843767"/>
    <w:rsid w:val="008679D9"/>
    <w:rsid w:val="008979B1"/>
    <w:rsid w:val="008A1DB2"/>
    <w:rsid w:val="008A6B25"/>
    <w:rsid w:val="008A6C4F"/>
    <w:rsid w:val="008B2335"/>
    <w:rsid w:val="008D204E"/>
    <w:rsid w:val="008E0678"/>
    <w:rsid w:val="008F354C"/>
    <w:rsid w:val="00910F40"/>
    <w:rsid w:val="009116A8"/>
    <w:rsid w:val="00912C08"/>
    <w:rsid w:val="009223CA"/>
    <w:rsid w:val="0092458C"/>
    <w:rsid w:val="00940F93"/>
    <w:rsid w:val="0095347F"/>
    <w:rsid w:val="0095622A"/>
    <w:rsid w:val="0096383B"/>
    <w:rsid w:val="009760F3"/>
    <w:rsid w:val="009909F5"/>
    <w:rsid w:val="009A0E8D"/>
    <w:rsid w:val="009B26E7"/>
    <w:rsid w:val="009C1566"/>
    <w:rsid w:val="00A00A3F"/>
    <w:rsid w:val="00A01489"/>
    <w:rsid w:val="00A115A3"/>
    <w:rsid w:val="00A338F1"/>
    <w:rsid w:val="00A348BE"/>
    <w:rsid w:val="00A41BFE"/>
    <w:rsid w:val="00A44615"/>
    <w:rsid w:val="00A72F22"/>
    <w:rsid w:val="00A7360F"/>
    <w:rsid w:val="00A748A6"/>
    <w:rsid w:val="00A769F4"/>
    <w:rsid w:val="00A776B4"/>
    <w:rsid w:val="00A8375B"/>
    <w:rsid w:val="00A94361"/>
    <w:rsid w:val="00AA293C"/>
    <w:rsid w:val="00AA348E"/>
    <w:rsid w:val="00AC46EF"/>
    <w:rsid w:val="00B106AF"/>
    <w:rsid w:val="00B13E9B"/>
    <w:rsid w:val="00B2472E"/>
    <w:rsid w:val="00B30179"/>
    <w:rsid w:val="00B32EF9"/>
    <w:rsid w:val="00B339A7"/>
    <w:rsid w:val="00B47957"/>
    <w:rsid w:val="00B56E4A"/>
    <w:rsid w:val="00B56E9C"/>
    <w:rsid w:val="00B64B1F"/>
    <w:rsid w:val="00B6553F"/>
    <w:rsid w:val="00B66E5E"/>
    <w:rsid w:val="00B75E57"/>
    <w:rsid w:val="00B77D05"/>
    <w:rsid w:val="00B81206"/>
    <w:rsid w:val="00B81E12"/>
    <w:rsid w:val="00B9067B"/>
    <w:rsid w:val="00BC2C23"/>
    <w:rsid w:val="00BC5F20"/>
    <w:rsid w:val="00BC74E9"/>
    <w:rsid w:val="00BD4866"/>
    <w:rsid w:val="00BF68A8"/>
    <w:rsid w:val="00C11A03"/>
    <w:rsid w:val="00C26023"/>
    <w:rsid w:val="00C32F70"/>
    <w:rsid w:val="00C342F7"/>
    <w:rsid w:val="00C463DD"/>
    <w:rsid w:val="00C4724C"/>
    <w:rsid w:val="00C629A0"/>
    <w:rsid w:val="00C745C3"/>
    <w:rsid w:val="00C94AA1"/>
    <w:rsid w:val="00CA1D56"/>
    <w:rsid w:val="00CD2E0D"/>
    <w:rsid w:val="00CE4A8F"/>
    <w:rsid w:val="00D2031B"/>
    <w:rsid w:val="00D25FE2"/>
    <w:rsid w:val="00D272AA"/>
    <w:rsid w:val="00D32611"/>
    <w:rsid w:val="00D43252"/>
    <w:rsid w:val="00D47EEA"/>
    <w:rsid w:val="00D532F7"/>
    <w:rsid w:val="00D95303"/>
    <w:rsid w:val="00D978C6"/>
    <w:rsid w:val="00DA3111"/>
    <w:rsid w:val="00DA3C1C"/>
    <w:rsid w:val="00DA5F0F"/>
    <w:rsid w:val="00DB0C79"/>
    <w:rsid w:val="00DB34AD"/>
    <w:rsid w:val="00DC299C"/>
    <w:rsid w:val="00DC55DB"/>
    <w:rsid w:val="00E27346"/>
    <w:rsid w:val="00E465CB"/>
    <w:rsid w:val="00E51038"/>
    <w:rsid w:val="00E71BC8"/>
    <w:rsid w:val="00E7260F"/>
    <w:rsid w:val="00E779FC"/>
    <w:rsid w:val="00E93704"/>
    <w:rsid w:val="00E96630"/>
    <w:rsid w:val="00EB0D56"/>
    <w:rsid w:val="00EB2581"/>
    <w:rsid w:val="00EB4F56"/>
    <w:rsid w:val="00ED7A2A"/>
    <w:rsid w:val="00EF1D7F"/>
    <w:rsid w:val="00F20C3D"/>
    <w:rsid w:val="00F43E9E"/>
    <w:rsid w:val="00F74BDF"/>
    <w:rsid w:val="00F9057C"/>
    <w:rsid w:val="00F906D7"/>
    <w:rsid w:val="00F92013"/>
    <w:rsid w:val="00F93781"/>
    <w:rsid w:val="00FB613B"/>
    <w:rsid w:val="00FC08BA"/>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uiPriority w:val="99"/>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link w:val="FootnoteText"/>
    <w:rsid w:val="00120941"/>
    <w:rPr>
      <w:sz w:val="18"/>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120941"/>
    <w:pPr>
      <w:suppressAutoHyphens w:val="0"/>
      <w:spacing w:after="160" w:line="240" w:lineRule="exact"/>
    </w:pPr>
    <w:rPr>
      <w:sz w:val="18"/>
      <w:vertAlign w:val="superscript"/>
      <w:lang w:eastAsia="en-GB"/>
    </w:rPr>
  </w:style>
  <w:style w:type="character" w:customStyle="1" w:styleId="H23GChar">
    <w:name w:val="_ H_2/3_G Char"/>
    <w:link w:val="H23G"/>
    <w:rsid w:val="00120941"/>
    <w:rPr>
      <w:b/>
      <w:lang w:eastAsia="en-US"/>
    </w:rPr>
  </w:style>
  <w:style w:type="character" w:customStyle="1" w:styleId="SingleTxtGChar">
    <w:name w:val="_ Single Txt_G Char"/>
    <w:link w:val="SingleTxtG"/>
    <w:rsid w:val="00120941"/>
    <w:rPr>
      <w:lang w:eastAsia="en-US"/>
    </w:rPr>
  </w:style>
  <w:style w:type="paragraph" w:customStyle="1" w:styleId="SingleTxt">
    <w:name w:val="__Single Txt"/>
    <w:basedOn w:val="Normal"/>
    <w:rsid w:val="0052441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Default">
    <w:name w:val="Default"/>
    <w:rsid w:val="00524418"/>
    <w:pPr>
      <w:autoSpaceDE w:val="0"/>
      <w:autoSpaceDN w:val="0"/>
      <w:adjustRightInd w:val="0"/>
    </w:pPr>
    <w:rPr>
      <w:color w:val="000000"/>
      <w:sz w:val="24"/>
      <w:szCs w:val="24"/>
    </w:rPr>
  </w:style>
  <w:style w:type="paragraph" w:styleId="ListParagraph">
    <w:name w:val="List Paragraph"/>
    <w:basedOn w:val="Normal"/>
    <w:uiPriority w:val="34"/>
    <w:qFormat/>
    <w:rsid w:val="00524418"/>
    <w:pPr>
      <w:ind w:left="720"/>
      <w:contextualSpacing/>
    </w:pPr>
  </w:style>
  <w:style w:type="paragraph" w:styleId="BalloonText">
    <w:name w:val="Balloon Text"/>
    <w:basedOn w:val="Normal"/>
    <w:link w:val="BalloonTextChar"/>
    <w:rsid w:val="00524418"/>
    <w:pPr>
      <w:spacing w:line="240" w:lineRule="auto"/>
    </w:pPr>
    <w:rPr>
      <w:rFonts w:ascii="Tahoma" w:hAnsi="Tahoma" w:cs="Tahoma"/>
      <w:sz w:val="16"/>
      <w:szCs w:val="16"/>
    </w:rPr>
  </w:style>
  <w:style w:type="character" w:customStyle="1" w:styleId="BalloonTextChar">
    <w:name w:val="Balloon Text Char"/>
    <w:link w:val="BalloonText"/>
    <w:rsid w:val="00524418"/>
    <w:rPr>
      <w:rFonts w:ascii="Tahoma" w:hAnsi="Tahoma" w:cs="Tahoma"/>
      <w:sz w:val="16"/>
      <w:szCs w:val="16"/>
      <w:lang w:eastAsia="en-US"/>
    </w:rPr>
  </w:style>
  <w:style w:type="character" w:styleId="CommentReference">
    <w:name w:val="annotation reference"/>
    <w:rsid w:val="00D32611"/>
    <w:rPr>
      <w:sz w:val="16"/>
      <w:szCs w:val="16"/>
    </w:rPr>
  </w:style>
  <w:style w:type="paragraph" w:styleId="CommentText">
    <w:name w:val="annotation text"/>
    <w:basedOn w:val="Normal"/>
    <w:link w:val="CommentTextChar"/>
    <w:rsid w:val="00D32611"/>
  </w:style>
  <w:style w:type="character" w:customStyle="1" w:styleId="CommentTextChar">
    <w:name w:val="Comment Text Char"/>
    <w:link w:val="CommentText"/>
    <w:rsid w:val="00D32611"/>
    <w:rPr>
      <w:lang w:eastAsia="en-US"/>
    </w:rPr>
  </w:style>
  <w:style w:type="paragraph" w:styleId="CommentSubject">
    <w:name w:val="annotation subject"/>
    <w:basedOn w:val="CommentText"/>
    <w:next w:val="CommentText"/>
    <w:link w:val="CommentSubjectChar"/>
    <w:rsid w:val="00D32611"/>
    <w:rPr>
      <w:b/>
      <w:bCs/>
    </w:rPr>
  </w:style>
  <w:style w:type="character" w:customStyle="1" w:styleId="CommentSubjectChar">
    <w:name w:val="Comment Subject Char"/>
    <w:link w:val="CommentSubject"/>
    <w:rsid w:val="00D32611"/>
    <w:rPr>
      <w:b/>
      <w:bCs/>
      <w:lang w:eastAsia="en-US"/>
    </w:rPr>
  </w:style>
  <w:style w:type="paragraph" w:styleId="Revision">
    <w:name w:val="Revision"/>
    <w:hidden/>
    <w:uiPriority w:val="99"/>
    <w:semiHidden/>
    <w:rsid w:val="004074C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
    <w:basedOn w:val="Normal"/>
    <w:link w:val="FootnoteTextChar"/>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uiPriority w:val="99"/>
    <w:qFormat/>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link w:val="FootnoteText"/>
    <w:rsid w:val="00120941"/>
    <w:rPr>
      <w:sz w:val="18"/>
      <w:lang w:eastAsia="en-US"/>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120941"/>
    <w:pPr>
      <w:suppressAutoHyphens w:val="0"/>
      <w:spacing w:after="160" w:line="240" w:lineRule="exact"/>
    </w:pPr>
    <w:rPr>
      <w:sz w:val="18"/>
      <w:vertAlign w:val="superscript"/>
      <w:lang w:eastAsia="en-GB"/>
    </w:rPr>
  </w:style>
  <w:style w:type="character" w:customStyle="1" w:styleId="H23GChar">
    <w:name w:val="_ H_2/3_G Char"/>
    <w:link w:val="H23G"/>
    <w:rsid w:val="00120941"/>
    <w:rPr>
      <w:b/>
      <w:lang w:eastAsia="en-US"/>
    </w:rPr>
  </w:style>
  <w:style w:type="character" w:customStyle="1" w:styleId="SingleTxtGChar">
    <w:name w:val="_ Single Txt_G Char"/>
    <w:link w:val="SingleTxtG"/>
    <w:rsid w:val="00120941"/>
    <w:rPr>
      <w:lang w:eastAsia="en-US"/>
    </w:rPr>
  </w:style>
  <w:style w:type="paragraph" w:customStyle="1" w:styleId="SingleTxt">
    <w:name w:val="__Single Txt"/>
    <w:basedOn w:val="Normal"/>
    <w:rsid w:val="0052441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Default">
    <w:name w:val="Default"/>
    <w:rsid w:val="00524418"/>
    <w:pPr>
      <w:autoSpaceDE w:val="0"/>
      <w:autoSpaceDN w:val="0"/>
      <w:adjustRightInd w:val="0"/>
    </w:pPr>
    <w:rPr>
      <w:color w:val="000000"/>
      <w:sz w:val="24"/>
      <w:szCs w:val="24"/>
    </w:rPr>
  </w:style>
  <w:style w:type="paragraph" w:styleId="ListParagraph">
    <w:name w:val="List Paragraph"/>
    <w:basedOn w:val="Normal"/>
    <w:uiPriority w:val="34"/>
    <w:qFormat/>
    <w:rsid w:val="00524418"/>
    <w:pPr>
      <w:ind w:left="720"/>
      <w:contextualSpacing/>
    </w:pPr>
  </w:style>
  <w:style w:type="paragraph" w:styleId="BalloonText">
    <w:name w:val="Balloon Text"/>
    <w:basedOn w:val="Normal"/>
    <w:link w:val="BalloonTextChar"/>
    <w:rsid w:val="00524418"/>
    <w:pPr>
      <w:spacing w:line="240" w:lineRule="auto"/>
    </w:pPr>
    <w:rPr>
      <w:rFonts w:ascii="Tahoma" w:hAnsi="Tahoma" w:cs="Tahoma"/>
      <w:sz w:val="16"/>
      <w:szCs w:val="16"/>
    </w:rPr>
  </w:style>
  <w:style w:type="character" w:customStyle="1" w:styleId="BalloonTextChar">
    <w:name w:val="Balloon Text Char"/>
    <w:link w:val="BalloonText"/>
    <w:rsid w:val="00524418"/>
    <w:rPr>
      <w:rFonts w:ascii="Tahoma" w:hAnsi="Tahoma" w:cs="Tahoma"/>
      <w:sz w:val="16"/>
      <w:szCs w:val="16"/>
      <w:lang w:eastAsia="en-US"/>
    </w:rPr>
  </w:style>
  <w:style w:type="character" w:styleId="CommentReference">
    <w:name w:val="annotation reference"/>
    <w:rsid w:val="00D32611"/>
    <w:rPr>
      <w:sz w:val="16"/>
      <w:szCs w:val="16"/>
    </w:rPr>
  </w:style>
  <w:style w:type="paragraph" w:styleId="CommentText">
    <w:name w:val="annotation text"/>
    <w:basedOn w:val="Normal"/>
    <w:link w:val="CommentTextChar"/>
    <w:rsid w:val="00D32611"/>
  </w:style>
  <w:style w:type="character" w:customStyle="1" w:styleId="CommentTextChar">
    <w:name w:val="Comment Text Char"/>
    <w:link w:val="CommentText"/>
    <w:rsid w:val="00D32611"/>
    <w:rPr>
      <w:lang w:eastAsia="en-US"/>
    </w:rPr>
  </w:style>
  <w:style w:type="paragraph" w:styleId="CommentSubject">
    <w:name w:val="annotation subject"/>
    <w:basedOn w:val="CommentText"/>
    <w:next w:val="CommentText"/>
    <w:link w:val="CommentSubjectChar"/>
    <w:rsid w:val="00D32611"/>
    <w:rPr>
      <w:b/>
      <w:bCs/>
    </w:rPr>
  </w:style>
  <w:style w:type="character" w:customStyle="1" w:styleId="CommentSubjectChar">
    <w:name w:val="Comment Subject Char"/>
    <w:link w:val="CommentSubject"/>
    <w:rsid w:val="00D32611"/>
    <w:rPr>
      <w:b/>
      <w:bCs/>
      <w:lang w:eastAsia="en-US"/>
    </w:rPr>
  </w:style>
  <w:style w:type="paragraph" w:styleId="Revision">
    <w:name w:val="Revision"/>
    <w:hidden/>
    <w:uiPriority w:val="99"/>
    <w:semiHidden/>
    <w:rsid w:val="004074C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4397">
      <w:bodyDiv w:val="1"/>
      <w:marLeft w:val="0"/>
      <w:marRight w:val="0"/>
      <w:marTop w:val="0"/>
      <w:marBottom w:val="0"/>
      <w:divBdr>
        <w:top w:val="none" w:sz="0" w:space="0" w:color="auto"/>
        <w:left w:val="none" w:sz="0" w:space="0" w:color="auto"/>
        <w:bottom w:val="none" w:sz="0" w:space="0" w:color="auto"/>
        <w:right w:val="none" w:sz="0" w:space="0" w:color="auto"/>
      </w:divBdr>
    </w:div>
    <w:div w:id="4886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4019F-DF52-4751-9D4F-28ADC689DA52}"/>
</file>

<file path=customXml/itemProps2.xml><?xml version="1.0" encoding="utf-8"?>
<ds:datastoreItem xmlns:ds="http://schemas.openxmlformats.org/officeDocument/2006/customXml" ds:itemID="{446103D7-56DA-417B-B852-064E76C9BD6F}"/>
</file>

<file path=customXml/itemProps3.xml><?xml version="1.0" encoding="utf-8"?>
<ds:datastoreItem xmlns:ds="http://schemas.openxmlformats.org/officeDocument/2006/customXml" ds:itemID="{584CFF5F-D634-4499-8CB9-B98912335660}"/>
</file>

<file path=customXml/itemProps4.xml><?xml version="1.0" encoding="utf-8"?>
<ds:datastoreItem xmlns:ds="http://schemas.openxmlformats.org/officeDocument/2006/customXml" ds:itemID="{01F452E0-5422-40DD-85A5-20E3DF838FFC}"/>
</file>

<file path=docProps/app.xml><?xml version="1.0" encoding="utf-8"?>
<Properties xmlns="http://schemas.openxmlformats.org/officeDocument/2006/extended-properties" xmlns:vt="http://schemas.openxmlformats.org/officeDocument/2006/docPropsVTypes">
  <Template>CCPR_E.dotm</Template>
  <TotalTime>89</TotalTime>
  <Pages>9</Pages>
  <Words>4231</Words>
  <Characters>24120</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Catherine</cp:lastModifiedBy>
  <cp:revision>8</cp:revision>
  <cp:lastPrinted>2016-07-12T13:50:00Z</cp:lastPrinted>
  <dcterms:created xsi:type="dcterms:W3CDTF">2016-07-12T13:49:00Z</dcterms:created>
  <dcterms:modified xsi:type="dcterms:W3CDTF">2016-07-14T17:04:00Z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