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CD3C" w14:textId="300BC9CB" w:rsidR="00935A5F" w:rsidRDefault="00C923F2" w:rsidP="00C923F2">
      <w:r w:rsidRPr="00C928E4">
        <w:rPr>
          <w:rStyle w:val="TittelTegn"/>
        </w:rPr>
        <w:t>Planinitiativ</w:t>
      </w:r>
      <w:r w:rsidR="00C928E4">
        <w:t xml:space="preserve"> </w:t>
      </w:r>
      <w:r>
        <w:t xml:space="preserve">etter </w:t>
      </w:r>
      <w:r w:rsidRPr="00C923F2">
        <w:t>Forskrift om behandling av private forslag til detaljregulering etter plan- og bygningsloven</w:t>
      </w:r>
    </w:p>
    <w:p w14:paraId="0C6650D8" w14:textId="77777777" w:rsidR="00935A5F" w:rsidRDefault="00935A5F" w:rsidP="00C923F2"/>
    <w:p w14:paraId="336ED62D" w14:textId="7FE196E2" w:rsidR="00C923F2" w:rsidRDefault="00C923F2" w:rsidP="00C923F2">
      <w:r>
        <w:t>Iht. ovennevnte</w:t>
      </w:r>
      <w:r w:rsidR="00935A5F">
        <w:t xml:space="preserve"> </w:t>
      </w:r>
      <w:r>
        <w:t xml:space="preserve">avklares i nødvendig grad videre forskriftens § 1. </w:t>
      </w:r>
      <w:r w:rsidRPr="00C928E4">
        <w:rPr>
          <w:i/>
          <w:iCs/>
        </w:rPr>
        <w:t>Krav til planinitiativet</w:t>
      </w:r>
      <w:r w:rsidR="00C928E4">
        <w:t>,</w:t>
      </w:r>
      <w:r>
        <w:t xml:space="preserve"> bokstaver a) til l) for anmodning om oppstart av detaljregulering</w:t>
      </w:r>
      <w:r w:rsidR="00631BE3">
        <w:t>:</w:t>
      </w:r>
    </w:p>
    <w:p w14:paraId="5A7F0323" w14:textId="77777777" w:rsidR="00631BE3" w:rsidRDefault="00631BE3" w:rsidP="00C923F2"/>
    <w:p w14:paraId="7CA8895E" w14:textId="6142B639" w:rsidR="00C923F2" w:rsidRDefault="00C923F2" w:rsidP="00182710">
      <w:pPr>
        <w:pStyle w:val="Overskrift2"/>
      </w:pPr>
      <w:r>
        <w:t>Formålet med planen</w:t>
      </w:r>
    </w:p>
    <w:p w14:paraId="57558EC2" w14:textId="6FC11959" w:rsidR="00C928E4" w:rsidRDefault="00C928E4" w:rsidP="00C928E4">
      <w:r>
        <w:t xml:space="preserve">Formålet med planen er å omregulere tomtene med gnr/bnr 13/70 og 13/60 </w:t>
      </w:r>
      <w:r w:rsidR="00204BBE">
        <w:t>fra offentlig tjenesteyting til</w:t>
      </w:r>
      <w:r>
        <w:t xml:space="preserve"> boligformål for lavblokker og </w:t>
      </w:r>
      <w:r w:rsidR="00204BBE">
        <w:t xml:space="preserve">rekkehus fra 2 til </w:t>
      </w:r>
      <w:r w:rsidR="00895A28">
        <w:t>3</w:t>
      </w:r>
      <w:r w:rsidR="00204BBE">
        <w:t xml:space="preserve"> etasjer</w:t>
      </w:r>
      <w:r w:rsidR="00182710">
        <w:t xml:space="preserve"> gjennom en ny </w:t>
      </w:r>
      <w:r w:rsidR="00182710" w:rsidRPr="00182710">
        <w:t xml:space="preserve">detaljreguleringsplan. </w:t>
      </w:r>
      <w:r w:rsidR="00204BBE" w:rsidRPr="00182710">
        <w:t>I tillegg vil det planlegges for nødvendig infrastruktur tilhørende bebyggelse som planlegges (renovasjon, parkering, ute</w:t>
      </w:r>
      <w:r w:rsidR="009D2E88" w:rsidRPr="00182710">
        <w:t>rom</w:t>
      </w:r>
      <w:r w:rsidR="00204BBE" w:rsidRPr="00182710">
        <w:t xml:space="preserve"> m.m.).</w:t>
      </w:r>
    </w:p>
    <w:p w14:paraId="3019E48F" w14:textId="77777777" w:rsidR="00182710" w:rsidRDefault="00182710" w:rsidP="00C928E4">
      <w:r w:rsidRPr="00182710">
        <w:t xml:space="preserve">Det kan ved behov avsettes plass til etablering av gang- og sykkelveg langsmed </w:t>
      </w:r>
      <w:proofErr w:type="spellStart"/>
      <w:r w:rsidRPr="00182710">
        <w:t>Kjerkveien</w:t>
      </w:r>
      <w:proofErr w:type="spellEnd"/>
      <w:r w:rsidRPr="00182710">
        <w:t xml:space="preserve"> forbi ny bebyggelse.</w:t>
      </w:r>
    </w:p>
    <w:p w14:paraId="207B1297" w14:textId="6C165724" w:rsidR="00935A5F" w:rsidRDefault="00935A5F" w:rsidP="00C928E4">
      <w:r>
        <w:t xml:space="preserve">Plankonsulent er Voll Arkitekter på vegen av tiltakshaver </w:t>
      </w:r>
      <w:proofErr w:type="spellStart"/>
      <w:r>
        <w:t>Valsåsmyra</w:t>
      </w:r>
      <w:proofErr w:type="spellEnd"/>
      <w:r>
        <w:t xml:space="preserve"> 19 AS.</w:t>
      </w:r>
    </w:p>
    <w:p w14:paraId="1E5C4466" w14:textId="77777777" w:rsidR="00C928E4" w:rsidRDefault="00C928E4" w:rsidP="00C928E4"/>
    <w:p w14:paraId="73A4AE93" w14:textId="2778156B" w:rsidR="00C928E4" w:rsidRDefault="00C928E4" w:rsidP="00182710">
      <w:pPr>
        <w:pStyle w:val="Overskrift2"/>
      </w:pPr>
      <w:r w:rsidRPr="00182710">
        <w:t>Planområdet</w:t>
      </w:r>
      <w:r>
        <w:t xml:space="preserve"> og om planarbeidet vil få virkninger utenfor planområdet</w:t>
      </w:r>
    </w:p>
    <w:p w14:paraId="44DA6836" w14:textId="35F86BF8" w:rsidR="00C928E4" w:rsidRDefault="00204BBE" w:rsidP="00C928E4">
      <w:r>
        <w:t xml:space="preserve">Det kan regnes med </w:t>
      </w:r>
      <w:r w:rsidR="009D2E88">
        <w:t xml:space="preserve">en </w:t>
      </w:r>
      <w:r>
        <w:t>trafikkøkning i atkomst</w:t>
      </w:r>
      <w:r w:rsidR="009D2E88">
        <w:t>veien</w:t>
      </w:r>
      <w:r>
        <w:t xml:space="preserve"> i forbindelse med nye boliger. Prosjektets størrelse vil likevel gjøre økningen beskjeden. Støy fra </w:t>
      </w:r>
      <w:r w:rsidR="009D2E88">
        <w:t xml:space="preserve">fylkesvei bør utredes og økning i trafikkmengde </w:t>
      </w:r>
      <w:r w:rsidR="00182710">
        <w:t xml:space="preserve">i lokalt vegnett </w:t>
      </w:r>
      <w:r w:rsidR="009D2E88">
        <w:t xml:space="preserve">vil </w:t>
      </w:r>
      <w:r w:rsidR="00182710">
        <w:t>vurderes</w:t>
      </w:r>
      <w:r w:rsidR="009D2E88">
        <w:t xml:space="preserve"> i den totale støyvurderingen.</w:t>
      </w:r>
    </w:p>
    <w:p w14:paraId="79D64EE3" w14:textId="7AD0C778" w:rsidR="00204BBE" w:rsidRDefault="00204BBE" w:rsidP="00C928E4">
      <w:r>
        <w:t>Prosjektet vil for øvrig føye seg godt inn i et etablert bomiljø med boliger på alle sider rundt. Prosjektet kan bidra til å støtte lokalt næringsliv og eksisterende infrastruktur.</w:t>
      </w:r>
      <w:r w:rsidR="009D2E88">
        <w:t xml:space="preserve"> forbindelse gjennom området vil ivaretas og bedres.</w:t>
      </w:r>
    </w:p>
    <w:p w14:paraId="618434CC" w14:textId="77777777" w:rsidR="00204BBE" w:rsidRDefault="00204BBE" w:rsidP="00C928E4"/>
    <w:p w14:paraId="20029A30" w14:textId="0CB6754E" w:rsidR="00C928E4" w:rsidRDefault="00C928E4" w:rsidP="00182710">
      <w:pPr>
        <w:pStyle w:val="Overskrift2"/>
      </w:pPr>
      <w:r>
        <w:t>Planlagt bebyggelse, anlegg og andre tiltak</w:t>
      </w:r>
    </w:p>
    <w:p w14:paraId="4EBEEA22" w14:textId="2D65D06F" w:rsidR="00C928E4" w:rsidRDefault="00204BBE" w:rsidP="00C928E4">
      <w:r>
        <w:t>Det planlegges for boligbebyggelse med blokker og rekkehus. Det opparbeides private og felles uterom, atkomstvei og parkering i tillegg til renovasjonsløsning. evt. andre infrastrukturbehov som avdekkes i planarbeidet må også tas inn i den endelige planen.</w:t>
      </w:r>
    </w:p>
    <w:p w14:paraId="075B11D3" w14:textId="26BDEEA9" w:rsidR="00204BBE" w:rsidRDefault="00CE40B8" w:rsidP="00CE40B8">
      <w:r>
        <w:t>T</w:t>
      </w:r>
      <w:r w:rsidR="009D2E88">
        <w:t xml:space="preserve">idligere Rissa kommune sin </w:t>
      </w:r>
      <w:r w:rsidR="00182710" w:rsidRPr="00182710">
        <w:rPr>
          <w:i/>
          <w:iCs/>
        </w:rPr>
        <w:t>"</w:t>
      </w:r>
      <w:r w:rsidRPr="00182710">
        <w:rPr>
          <w:i/>
          <w:iCs/>
        </w:rPr>
        <w:t>G</w:t>
      </w:r>
      <w:r w:rsidRPr="00CE40B8">
        <w:rPr>
          <w:i/>
          <w:iCs/>
        </w:rPr>
        <w:t>uide -</w:t>
      </w:r>
      <w:r w:rsidR="009D2E88" w:rsidRPr="00CE40B8">
        <w:rPr>
          <w:i/>
          <w:iCs/>
        </w:rPr>
        <w:t xml:space="preserve"> Folkehelse, estetikk, miljø</w:t>
      </w:r>
      <w:r w:rsidRPr="00CE40B8">
        <w:rPr>
          <w:i/>
          <w:iCs/>
        </w:rPr>
        <w:t xml:space="preserve"> i alt vi gjør</w:t>
      </w:r>
      <w:r w:rsidR="00182710">
        <w:rPr>
          <w:i/>
          <w:iCs/>
        </w:rPr>
        <w:t>"</w:t>
      </w:r>
      <w:r>
        <w:t xml:space="preserve"> oppfordrer til b</w:t>
      </w:r>
      <w:r w:rsidR="009D2E88">
        <w:t xml:space="preserve">ruk </w:t>
      </w:r>
      <w:r>
        <w:t xml:space="preserve">av </w:t>
      </w:r>
      <w:r w:rsidR="009D2E88">
        <w:t>stedegne arter eller nyttevekster ved beplantning</w:t>
      </w:r>
      <w:r>
        <w:t>.</w:t>
      </w:r>
    </w:p>
    <w:p w14:paraId="5F799C90" w14:textId="11320B02" w:rsidR="00182710" w:rsidRDefault="00182710" w:rsidP="00CE40B8">
      <w:r>
        <w:t>Evt. ny gang/sykkelveg langsmed fylkesveien ivaretas gjennom plassering av den nye bebyggelsen tilbaketrukket fra veien.</w:t>
      </w:r>
    </w:p>
    <w:p w14:paraId="036EBF5C" w14:textId="77777777" w:rsidR="00CE40B8" w:rsidRDefault="00CE40B8" w:rsidP="00CE40B8"/>
    <w:p w14:paraId="0E84BCCE" w14:textId="6438315B" w:rsidR="00C928E4" w:rsidRDefault="00C928E4" w:rsidP="00182710">
      <w:pPr>
        <w:pStyle w:val="Overskrift2"/>
      </w:pPr>
      <w:r>
        <w:t>Utbyggingsvolum og byggehøyder</w:t>
      </w:r>
    </w:p>
    <w:p w14:paraId="5F6BD391" w14:textId="5B88FC7C" w:rsidR="00DD7C38" w:rsidRDefault="00DD7C38" w:rsidP="00C928E4">
      <w:r>
        <w:t xml:space="preserve">Det planlegges for to blokker </w:t>
      </w:r>
      <w:r w:rsidR="00182710">
        <w:t xml:space="preserve">og kjeda eneboliger / rekkehus på 2 -3 </w:t>
      </w:r>
      <w:r w:rsidR="00F10C77">
        <w:t xml:space="preserve">etasjer. Foreløpige skisser viser </w:t>
      </w:r>
      <w:r w:rsidR="00182710">
        <w:t>bebyggelsen plassert etter ulike prinsipper, hvor forslag A og C er de, som for forslagsstiller, peker seg ut som mest relevante å jobbe videre med.</w:t>
      </w:r>
    </w:p>
    <w:p w14:paraId="314B09A6" w14:textId="77777777" w:rsidR="00182710" w:rsidRDefault="00182710" w:rsidP="00C928E4"/>
    <w:p w14:paraId="7236BA54" w14:textId="13447B61" w:rsidR="00C928E4" w:rsidRDefault="00C928E4" w:rsidP="00182710">
      <w:pPr>
        <w:pStyle w:val="Overskrift2"/>
      </w:pPr>
      <w:r>
        <w:lastRenderedPageBreak/>
        <w:t>Funksjonell og miljømessig kvalitet</w:t>
      </w:r>
    </w:p>
    <w:p w14:paraId="453E02CB" w14:textId="3C08FEC3" w:rsidR="00C928E4" w:rsidRDefault="00895A28" w:rsidP="00C928E4">
      <w:r>
        <w:t>Plano</w:t>
      </w:r>
      <w:r w:rsidR="00DD7C38">
        <w:t>mrådet er bebygget i dag</w:t>
      </w:r>
      <w:r w:rsidR="00182710">
        <w:t xml:space="preserve"> med tidligere eldreboliger/</w:t>
      </w:r>
      <w:r w:rsidR="002C33E7">
        <w:t>pleiehjem</w:t>
      </w:r>
      <w:r>
        <w:t xml:space="preserve">. </w:t>
      </w:r>
      <w:r w:rsidR="00182710">
        <w:t>B</w:t>
      </w:r>
      <w:r>
        <w:t>ebyggelsen</w:t>
      </w:r>
      <w:r w:rsidR="00182710">
        <w:t xml:space="preserve"> </w:t>
      </w:r>
      <w:r w:rsidR="001106C7">
        <w:t>har dermed uttjent sin funksjon</w:t>
      </w:r>
      <w:r>
        <w:t xml:space="preserve"> slik den fremstår i dag</w:t>
      </w:r>
      <w:r w:rsidR="009F264E">
        <w:t>.</w:t>
      </w:r>
      <w:r w:rsidR="001106C7">
        <w:t xml:space="preserve"> Bebyggelsen er ikke spesielt tilpasset dagens </w:t>
      </w:r>
      <w:proofErr w:type="spellStart"/>
      <w:r w:rsidR="001106C7">
        <w:t>byggestandard</w:t>
      </w:r>
      <w:proofErr w:type="spellEnd"/>
      <w:r w:rsidR="001106C7">
        <w:t xml:space="preserve"> og må vesentlig oppgraderes eller erstattes med nybygg</w:t>
      </w:r>
      <w:r w:rsidR="001106C7" w:rsidRPr="001106C7">
        <w:t xml:space="preserve"> </w:t>
      </w:r>
      <w:r w:rsidR="001106C7">
        <w:t xml:space="preserve">for å tilpasses bl.a. dagens krav til </w:t>
      </w:r>
      <w:r w:rsidR="001106C7">
        <w:t xml:space="preserve"> lavt energiforbruk</w:t>
      </w:r>
      <w:r w:rsidR="001106C7">
        <w:t>.</w:t>
      </w:r>
    </w:p>
    <w:p w14:paraId="26522C77" w14:textId="77777777" w:rsidR="00DD7C38" w:rsidRDefault="00DD7C38" w:rsidP="00C928E4"/>
    <w:p w14:paraId="172BC448" w14:textId="0C2F0798" w:rsidR="00C928E4" w:rsidRDefault="00C928E4" w:rsidP="00182710">
      <w:pPr>
        <w:pStyle w:val="Overskrift2"/>
      </w:pPr>
      <w:r>
        <w:t xml:space="preserve">Tiltakets virkning på, og </w:t>
      </w:r>
      <w:r w:rsidR="00DD7C38">
        <w:t>tilpasning</w:t>
      </w:r>
      <w:r>
        <w:t xml:space="preserve"> til, landskap og omgivelser</w:t>
      </w:r>
    </w:p>
    <w:p w14:paraId="7561E860" w14:textId="702C928D" w:rsidR="00C928E4" w:rsidRDefault="00895A28" w:rsidP="00C928E4">
      <w:r>
        <w:t>Omliggende områder er bebygget med eneboliger, rekkehus og leilighetsbygg i 1-2 etasjer.</w:t>
      </w:r>
    </w:p>
    <w:p w14:paraId="3DFC06CD" w14:textId="77777777" w:rsidR="00DD7C38" w:rsidRDefault="00DD7C38" w:rsidP="00C928E4"/>
    <w:p w14:paraId="0845D65E" w14:textId="19C01093" w:rsidR="00C928E4" w:rsidRDefault="00C928E4" w:rsidP="00182710">
      <w:pPr>
        <w:pStyle w:val="Overskrift2"/>
      </w:pPr>
      <w:r>
        <w:t>Forholdet til kommuneplan, eventuelle gjeldende reguleringsplaner og retningslinjer, og pågående planarbeid</w:t>
      </w:r>
    </w:p>
    <w:p w14:paraId="35F47DBA" w14:textId="0E55A3F4" w:rsidR="00343D19" w:rsidRDefault="009B2998" w:rsidP="00C928E4">
      <w:r>
        <w:t xml:space="preserve">Stadsbygd er omfattet av </w:t>
      </w:r>
      <w:r w:rsidR="001106C7">
        <w:t>kommune</w:t>
      </w:r>
      <w:r>
        <w:t xml:space="preserve">delplan for </w:t>
      </w:r>
      <w:r w:rsidR="00DB53A3">
        <w:t>Stadsbygd</w:t>
      </w:r>
      <w:r>
        <w:t xml:space="preserve">, som er del av tidligere Rissa kommune (nå Indre Fosen kommune) sin </w:t>
      </w:r>
      <w:r w:rsidR="001106C7">
        <w:t>kommuneplanens arealdel</w:t>
      </w:r>
      <w:r>
        <w:t xml:space="preserve"> 2010-2021. Stadsbygd er i </w:t>
      </w:r>
      <w:r w:rsidR="001106C7">
        <w:t xml:space="preserve">kommuneplanens arealdel </w:t>
      </w:r>
      <w:r>
        <w:t>vist som «</w:t>
      </w:r>
      <w:r w:rsidRPr="009B2998">
        <w:rPr>
          <w:i/>
          <w:iCs/>
        </w:rPr>
        <w:t>Område hvor det foreligger delplan</w:t>
      </w:r>
      <w:r>
        <w:t xml:space="preserve">» Det foreslåtte planområdet er </w:t>
      </w:r>
      <w:r w:rsidR="001106C7">
        <w:t>angitt</w:t>
      </w:r>
      <w:r>
        <w:t xml:space="preserve"> som offentlig</w:t>
      </w:r>
      <w:r w:rsidR="001106C7">
        <w:t xml:space="preserve"> formål</w:t>
      </w:r>
      <w:r>
        <w:t>.</w:t>
      </w:r>
    </w:p>
    <w:p w14:paraId="0DFB899A" w14:textId="1ECB84CC" w:rsidR="00CE40B8" w:rsidRDefault="00CE40B8" w:rsidP="00C928E4">
      <w:r>
        <w:t>Kommuneplanen sier følgende om boligbygging:</w:t>
      </w:r>
    </w:p>
    <w:p w14:paraId="4A139D40" w14:textId="5884AE52" w:rsidR="00CE40B8" w:rsidRDefault="00CE40B8" w:rsidP="00CE40B8">
      <w:pPr>
        <w:rPr>
          <w:i/>
          <w:iCs/>
        </w:rPr>
      </w:pPr>
      <w:r w:rsidRPr="00CE40B8">
        <w:rPr>
          <w:i/>
          <w:iCs/>
        </w:rPr>
        <w:t>Kommunen vil satse på sentrumsn</w:t>
      </w:r>
      <w:r>
        <w:rPr>
          <w:i/>
          <w:iCs/>
        </w:rPr>
        <w:t>æ</w:t>
      </w:r>
      <w:r w:rsidRPr="00CE40B8">
        <w:rPr>
          <w:i/>
          <w:iCs/>
        </w:rPr>
        <w:t>re boliger for videreutvikling av et levende kommunesenter med</w:t>
      </w:r>
      <w:r>
        <w:rPr>
          <w:i/>
          <w:iCs/>
        </w:rPr>
        <w:t xml:space="preserve"> </w:t>
      </w:r>
      <w:r w:rsidRPr="00CE40B8">
        <w:rPr>
          <w:i/>
          <w:iCs/>
        </w:rPr>
        <w:t xml:space="preserve">kortest mulig avstander til handel, service og skoler. Utvidelser av </w:t>
      </w:r>
      <w:proofErr w:type="spellStart"/>
      <w:r w:rsidRPr="00CE40B8">
        <w:rPr>
          <w:i/>
          <w:iCs/>
        </w:rPr>
        <w:t>Årnset</w:t>
      </w:r>
      <w:proofErr w:type="spellEnd"/>
      <w:r w:rsidRPr="00CE40B8">
        <w:rPr>
          <w:i/>
          <w:iCs/>
        </w:rPr>
        <w:t xml:space="preserve"> boligfelt har vist seg fordelaktig</w:t>
      </w:r>
      <w:r>
        <w:rPr>
          <w:i/>
          <w:iCs/>
        </w:rPr>
        <w:t xml:space="preserve"> </w:t>
      </w:r>
      <w:r w:rsidRPr="00CE40B8">
        <w:rPr>
          <w:i/>
          <w:iCs/>
        </w:rPr>
        <w:t>med tanke på naturforvaltning, trafikk og økonomi samt akseptabelt i forhold til landbruk.</w:t>
      </w:r>
      <w:r>
        <w:rPr>
          <w:i/>
          <w:iCs/>
        </w:rPr>
        <w:t xml:space="preserve"> </w:t>
      </w:r>
      <w:r w:rsidRPr="00CE40B8">
        <w:rPr>
          <w:i/>
          <w:iCs/>
        </w:rPr>
        <w:t>Utbygging utenfor selve kommunesenteret skal skje i private felt ved Kvithyll, Leira og Sørbotn.</w:t>
      </w:r>
      <w:r>
        <w:rPr>
          <w:i/>
          <w:iCs/>
        </w:rPr>
        <w:t xml:space="preserve"> </w:t>
      </w:r>
      <w:r w:rsidRPr="00CE40B8">
        <w:rPr>
          <w:i/>
          <w:iCs/>
        </w:rPr>
        <w:t>Boligbyggingen utenfor selve sentrum skal v</w:t>
      </w:r>
      <w:r>
        <w:rPr>
          <w:i/>
          <w:iCs/>
        </w:rPr>
        <w:t>æ</w:t>
      </w:r>
      <w:r w:rsidRPr="00CE40B8">
        <w:rPr>
          <w:i/>
          <w:iCs/>
        </w:rPr>
        <w:t>re et supplement til kommunens prioriterte lokalisering</w:t>
      </w:r>
      <w:r>
        <w:rPr>
          <w:i/>
          <w:iCs/>
        </w:rPr>
        <w:t xml:space="preserve"> </w:t>
      </w:r>
      <w:r w:rsidRPr="00CE40B8">
        <w:rPr>
          <w:i/>
          <w:iCs/>
        </w:rPr>
        <w:t>av byggeområder</w:t>
      </w:r>
      <w:r>
        <w:rPr>
          <w:i/>
          <w:iCs/>
        </w:rPr>
        <w:t>.</w:t>
      </w:r>
    </w:p>
    <w:p w14:paraId="7ACD8FF3" w14:textId="77777777" w:rsidR="009D2E88" w:rsidRDefault="009D2E88" w:rsidP="00C928E4"/>
    <w:p w14:paraId="39048E89" w14:textId="02915C67" w:rsidR="00C928E4" w:rsidRDefault="00C928E4" w:rsidP="00182710">
      <w:pPr>
        <w:pStyle w:val="Overskrift2"/>
      </w:pPr>
      <w:r>
        <w:t>Vesentlige interesser som berøres av planinitiativet</w:t>
      </w:r>
    </w:p>
    <w:p w14:paraId="318BC8B6" w14:textId="42D9BF3E" w:rsidR="001F0860" w:rsidRDefault="00DC5513" w:rsidP="00C928E4">
      <w:r>
        <w:t xml:space="preserve">Det er ikke avdekket vesentlige interesser som berøres av planforslaget. </w:t>
      </w:r>
      <w:r w:rsidR="009B2998">
        <w:t xml:space="preserve">Eksisterende bygningsmasse </w:t>
      </w:r>
      <w:r w:rsidR="001106C7">
        <w:t xml:space="preserve">foreslås revet </w:t>
      </w:r>
      <w:r w:rsidR="009B2998">
        <w:t>og erstatte</w:t>
      </w:r>
      <w:r w:rsidR="001106C7">
        <w:t>t</w:t>
      </w:r>
      <w:r w:rsidR="009B2998">
        <w:t xml:space="preserve"> av nye bygg</w:t>
      </w:r>
      <w:r w:rsidR="001106C7">
        <w:t>,</w:t>
      </w:r>
      <w:r w:rsidR="009B2998">
        <w:t xml:space="preserve"> som vil frem</w:t>
      </w:r>
      <w:r w:rsidR="001106C7">
        <w:t xml:space="preserve">gå </w:t>
      </w:r>
      <w:r w:rsidR="009B2998">
        <w:t>av plankart</w:t>
      </w:r>
      <w:r w:rsidR="001106C7">
        <w:t xml:space="preserve">, bestemmelser </w:t>
      </w:r>
      <w:r w:rsidR="009B2998">
        <w:t>og intensjons</w:t>
      </w:r>
      <w:r w:rsidR="00DB53A3">
        <w:t>grunnlaget</w:t>
      </w:r>
      <w:r w:rsidR="009B2998">
        <w:t xml:space="preserve"> til </w:t>
      </w:r>
      <w:r w:rsidR="001106C7">
        <w:t>reguleringsplanen.</w:t>
      </w:r>
    </w:p>
    <w:p w14:paraId="79AA6757" w14:textId="77777777" w:rsidR="009B2998" w:rsidRDefault="009B2998" w:rsidP="00C928E4"/>
    <w:p w14:paraId="55206096" w14:textId="06DB2AA0" w:rsidR="00C928E4" w:rsidRDefault="00C928E4" w:rsidP="00182710">
      <w:pPr>
        <w:pStyle w:val="Overskrift2"/>
      </w:pPr>
      <w:r>
        <w:t>Hvordan samfunnssikkerhet skal ivaretas, blant annet gjennom å forebygge risiko for sårbarhet</w:t>
      </w:r>
    </w:p>
    <w:p w14:paraId="20FEEE8E" w14:textId="191D316A" w:rsidR="00C928E4" w:rsidRDefault="00DC5513" w:rsidP="00C928E4">
      <w:r>
        <w:t xml:space="preserve">Aktuelle Risiko- og sårbarhetstema er foreslått i vedlagt </w:t>
      </w:r>
      <w:r w:rsidRPr="00D256E1">
        <w:rPr>
          <w:i/>
          <w:iCs/>
        </w:rPr>
        <w:t>foreløpig ROS-analyse</w:t>
      </w:r>
      <w:r w:rsidR="00D256E1" w:rsidRPr="00D256E1">
        <w:rPr>
          <w:i/>
          <w:iCs/>
        </w:rPr>
        <w:t xml:space="preserve"> med forslag til ROS-tema</w:t>
      </w:r>
      <w:r>
        <w:t xml:space="preserve">. Det utarbeides ROS-analyse til 1.gangs innsending av planforslag. Evt. andre aktuelle tema som blir kjent </w:t>
      </w:r>
      <w:proofErr w:type="spellStart"/>
      <w:r w:rsidR="001106C7">
        <w:t>i.l.a</w:t>
      </w:r>
      <w:proofErr w:type="spellEnd"/>
      <w:r>
        <w:t>. planprosessen avklares i det videre planarbeidet.</w:t>
      </w:r>
    </w:p>
    <w:p w14:paraId="01C162E1" w14:textId="4638D9BC" w:rsidR="00DC5513" w:rsidRDefault="00DC5513" w:rsidP="00C928E4">
      <w:r>
        <w:t xml:space="preserve">Aktuelle tema som </w:t>
      </w:r>
      <w:r w:rsidR="00D256E1">
        <w:t>foreslås grundigere undersøkt er</w:t>
      </w:r>
      <w:r>
        <w:t>:</w:t>
      </w:r>
    </w:p>
    <w:p w14:paraId="144C734A" w14:textId="45318B3B" w:rsidR="00DC5513" w:rsidRDefault="00DC5513" w:rsidP="00DC5513">
      <w:pPr>
        <w:pStyle w:val="Listeavsnitt"/>
        <w:numPr>
          <w:ilvl w:val="0"/>
          <w:numId w:val="3"/>
        </w:numPr>
      </w:pPr>
      <w:r>
        <w:t>Geoteknikk: avklares med geotekniske fag til førstegangs innsending av plan</w:t>
      </w:r>
    </w:p>
    <w:p w14:paraId="18B73A9E" w14:textId="7BCA3704" w:rsidR="00DC5513" w:rsidRDefault="00DC5513" w:rsidP="00DC5513">
      <w:pPr>
        <w:pStyle w:val="Listeavsnitt"/>
        <w:numPr>
          <w:ilvl w:val="0"/>
          <w:numId w:val="3"/>
        </w:numPr>
      </w:pPr>
      <w:r>
        <w:t xml:space="preserve">Støy </w:t>
      </w:r>
      <w:proofErr w:type="spellStart"/>
      <w:r>
        <w:t>ifbm</w:t>
      </w:r>
      <w:proofErr w:type="spellEnd"/>
      <w:r w:rsidR="009D2E88">
        <w:t>.</w:t>
      </w:r>
      <w:r>
        <w:t xml:space="preserve"> veitrafikk avklares av støykonsulent</w:t>
      </w:r>
      <w:r w:rsidR="00D256E1">
        <w:t>. Eksiterende trafikkgrunnlag og beregnet ny trafikkmengde som følge av realisert reguleringsplan inngår som analysegrunnlag.</w:t>
      </w:r>
    </w:p>
    <w:p w14:paraId="619B153C" w14:textId="50CE2367" w:rsidR="00DC5513" w:rsidRDefault="00DC5513" w:rsidP="00DC5513">
      <w:pPr>
        <w:pStyle w:val="Listeavsnitt"/>
        <w:numPr>
          <w:ilvl w:val="0"/>
          <w:numId w:val="3"/>
        </w:numPr>
      </w:pPr>
      <w:r>
        <w:t>Vann- og avløp</w:t>
      </w:r>
      <w:r w:rsidR="00D256E1">
        <w:t>, herunder flom, brann- og drikkevannkapasitet</w:t>
      </w:r>
      <w:r>
        <w:t xml:space="preserve"> avklares med overordnet VA-plan</w:t>
      </w:r>
      <w:r w:rsidR="00D256E1">
        <w:t>. VA-konsulent tar kontakt med kommunen for kommunalt ledningsnett og kapasitet.</w:t>
      </w:r>
    </w:p>
    <w:p w14:paraId="0523CC06" w14:textId="77777777" w:rsidR="00DC5513" w:rsidRDefault="00DC5513" w:rsidP="00DC5513"/>
    <w:p w14:paraId="6446BF1A" w14:textId="1131AE48" w:rsidR="00C928E4" w:rsidRDefault="00C928E4" w:rsidP="00182710">
      <w:pPr>
        <w:pStyle w:val="Overskrift2"/>
      </w:pPr>
      <w:r>
        <w:t>Hvilke berørte offentlige organer og andre interesserte som skal varsles om planoppstart</w:t>
      </w:r>
    </w:p>
    <w:p w14:paraId="04D7EDD1" w14:textId="3711489E" w:rsidR="00D256E1" w:rsidRDefault="00A75A09" w:rsidP="00C928E4">
      <w:r>
        <w:t>Det</w:t>
      </w:r>
      <w:r w:rsidR="00DB53A3">
        <w:t xml:space="preserve"> bes om en avklaring </w:t>
      </w:r>
      <w:r>
        <w:t xml:space="preserve">med </w:t>
      </w:r>
      <w:r w:rsidR="00DB53A3">
        <w:t xml:space="preserve">administrasjonen i Indre Fosen kommune </w:t>
      </w:r>
      <w:r>
        <w:t>i</w:t>
      </w:r>
      <w:r w:rsidR="009A11A9">
        <w:t xml:space="preserve"> oppstartsmøtet </w:t>
      </w:r>
      <w:r>
        <w:t>for</w:t>
      </w:r>
      <w:r w:rsidR="009A11A9">
        <w:t xml:space="preserve"> detaljregulering</w:t>
      </w:r>
      <w:r>
        <w:t xml:space="preserve">; </w:t>
      </w:r>
      <w:proofErr w:type="spellStart"/>
      <w:r>
        <w:t>mtp</w:t>
      </w:r>
      <w:proofErr w:type="spellEnd"/>
      <w:r>
        <w:t>. hvilke myndigheter som er relevante å varsle</w:t>
      </w:r>
      <w:r w:rsidR="00DB53A3">
        <w:t>.</w:t>
      </w:r>
      <w:r>
        <w:t xml:space="preserve"> Som minimum foreslår plankonsulenten at fylkeskommunen, statsforvalteren og NVE varsles om planoppstart.</w:t>
      </w:r>
    </w:p>
    <w:p w14:paraId="5351A26B" w14:textId="77777777" w:rsidR="00DB53A3" w:rsidRDefault="00DB53A3" w:rsidP="00C928E4"/>
    <w:p w14:paraId="5E2009B4" w14:textId="3873D718" w:rsidR="00C928E4" w:rsidRDefault="00C928E4" w:rsidP="00182710">
      <w:pPr>
        <w:pStyle w:val="Overskrift2"/>
      </w:pPr>
      <w:r>
        <w:t>Prosesser for samarbeid og medvirkning fra berørte fagmyndigheter, grunneiere, festere, naboer og andre berørte</w:t>
      </w:r>
    </w:p>
    <w:p w14:paraId="12C1DB7C" w14:textId="0CBF058B" w:rsidR="00895A28" w:rsidRDefault="00D250C3" w:rsidP="00C928E4">
      <w:r>
        <w:t xml:space="preserve">Planprosessen følger plan- og bygningsloven for medvirkning. Når anmodning om oppstartsmøte er innsendt </w:t>
      </w:r>
      <w:proofErr w:type="spellStart"/>
      <w:r>
        <w:t>avholde</w:t>
      </w:r>
      <w:r w:rsidR="00A75A09">
        <w:t>s</w:t>
      </w:r>
      <w:r>
        <w:t>det</w:t>
      </w:r>
      <w:proofErr w:type="spellEnd"/>
      <w:r>
        <w:t xml:space="preserve"> oppstartsmøte med kommunen. </w:t>
      </w:r>
      <w:r w:rsidR="00A75A09">
        <w:t>Avklaringer med</w:t>
      </w:r>
      <w:r>
        <w:t xml:space="preserve"> kommunen </w:t>
      </w:r>
      <w:r w:rsidR="00A75A09">
        <w:t xml:space="preserve">om videre planprosess og nødvendige utredninger </w:t>
      </w:r>
      <w:r>
        <w:t xml:space="preserve">gjøres </w:t>
      </w:r>
      <w:r w:rsidR="00A75A09">
        <w:t>i oppstartsmøtet</w:t>
      </w:r>
      <w:r>
        <w:t>.</w:t>
      </w:r>
    </w:p>
    <w:p w14:paraId="4DC01659" w14:textId="77777777" w:rsidR="00A75A09" w:rsidRDefault="00D250C3" w:rsidP="00C928E4">
      <w:r>
        <w:t>Det</w:t>
      </w:r>
      <w:r w:rsidR="00A75A09">
        <w:t xml:space="preserve"> vil, når grønt lys for planoppstart er gitt av kommunen,</w:t>
      </w:r>
      <w:r>
        <w:t xml:space="preserve"> varsles oppstart av planarbeid iht. </w:t>
      </w:r>
      <w:proofErr w:type="spellStart"/>
      <w:r>
        <w:t>Pbl</w:t>
      </w:r>
      <w:proofErr w:type="spellEnd"/>
      <w:r>
        <w:t xml:space="preserve"> § 12-8</w:t>
      </w:r>
      <w:r w:rsidR="00A75A09">
        <w:t xml:space="preserve"> hvor myndigheter og berørte naboer/parter varsles.</w:t>
      </w:r>
    </w:p>
    <w:p w14:paraId="2AC95271" w14:textId="7A168A2F" w:rsidR="00294B3C" w:rsidRDefault="00D256E1" w:rsidP="00C928E4">
      <w:r>
        <w:t>Et sammendrag av innspill med plankonsulentens kommentarer vedlegges planbeskrivelsen ved 1.gangs innsending av planforslag. Alle innspill til planen sendes i sin h</w:t>
      </w:r>
      <w:r w:rsidR="001F0860">
        <w:t>el</w:t>
      </w:r>
      <w:r>
        <w:t>het inn som vedlegg til 1.gangsbehandling.</w:t>
      </w:r>
    </w:p>
    <w:p w14:paraId="59F20BC1" w14:textId="514BF7D7" w:rsidR="00895A28" w:rsidRDefault="007D4441" w:rsidP="00C928E4">
      <w:r>
        <w:t xml:space="preserve">Videre planprosess </w:t>
      </w:r>
      <w:r w:rsidR="00D256E1">
        <w:t>er forutsatt å følge</w:t>
      </w:r>
      <w:r>
        <w:t xml:space="preserve"> plan og bygningsloven for offentlig ettersyn og sluttbehandling</w:t>
      </w:r>
      <w:r w:rsidR="00D256E1">
        <w:t xml:space="preserve"> med klagefrist.</w:t>
      </w:r>
    </w:p>
    <w:p w14:paraId="7418E88D" w14:textId="77777777" w:rsidR="00DB53A3" w:rsidRDefault="00DB53A3" w:rsidP="00C928E4"/>
    <w:p w14:paraId="77BCAA70" w14:textId="4FAEB687" w:rsidR="00C923F2" w:rsidRDefault="00C928E4" w:rsidP="00182710">
      <w:pPr>
        <w:pStyle w:val="Overskrift2"/>
      </w:pPr>
      <w:r>
        <w:t>Vurdering av om planen er omfattet av forskrift om konsekvensutredninger, og hvordan kravene i tilfelle vil kunne bli ivaretatt</w:t>
      </w:r>
    </w:p>
    <w:p w14:paraId="6088D564" w14:textId="3052BA18" w:rsidR="00D256E1" w:rsidRPr="00E077DA" w:rsidRDefault="00294B3C" w:rsidP="00294B3C">
      <w:r w:rsidRPr="006415DA">
        <w:t>Eiendommene ligger innenfor et område, som i gjeldende Kommuneplanens Arealdel (KPA) er regulert til "offentlige formål".</w:t>
      </w:r>
      <w:r w:rsidR="00D250C3">
        <w:t xml:space="preserve"> En omregulering </w:t>
      </w:r>
      <w:r w:rsidR="00E077DA">
        <w:t>til boligformål må derfor vurderes opp imot</w:t>
      </w:r>
      <w:r w:rsidR="00D250C3">
        <w:t xml:space="preserve"> forskrift om </w:t>
      </w:r>
      <w:r w:rsidR="00D250C3" w:rsidRPr="00E077DA">
        <w:t>konsekvensutredning.</w:t>
      </w:r>
    </w:p>
    <w:p w14:paraId="556C0EDE" w14:textId="4E2A42D3" w:rsidR="009A11A9" w:rsidRPr="00E077DA" w:rsidRDefault="009A11A9" w:rsidP="00E077DA">
      <w:r w:rsidRPr="00E077DA">
        <w:t>Forskrift om konsekvensutredning § 6</w:t>
      </w:r>
      <w:r w:rsidR="00E077DA" w:rsidRPr="00E077DA">
        <w:t xml:space="preserve"> sier</w:t>
      </w:r>
      <w:r w:rsidRPr="00E077DA">
        <w:t>:</w:t>
      </w:r>
    </w:p>
    <w:p w14:paraId="213BD19D"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b/>
          <w:bCs/>
          <w:i/>
          <w:iCs/>
        </w:rPr>
      </w:pPr>
      <w:r w:rsidRPr="00E077DA">
        <w:rPr>
          <w:b/>
          <w:bCs/>
          <w:i/>
          <w:iCs/>
        </w:rPr>
        <w:t xml:space="preserve">§ 6.Planer og tiltak som alltid skal </w:t>
      </w:r>
      <w:proofErr w:type="spellStart"/>
      <w:r w:rsidRPr="00E077DA">
        <w:rPr>
          <w:b/>
          <w:bCs/>
          <w:i/>
          <w:iCs/>
        </w:rPr>
        <w:t>konsekvensutredes</w:t>
      </w:r>
      <w:proofErr w:type="spellEnd"/>
      <w:r w:rsidRPr="00E077DA">
        <w:rPr>
          <w:b/>
          <w:bCs/>
          <w:i/>
          <w:iCs/>
        </w:rPr>
        <w:t xml:space="preserve"> og ha planprogram eller melding</w:t>
      </w:r>
    </w:p>
    <w:p w14:paraId="0EE52BEF"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 xml:space="preserve">Følgende planer og tiltak skal alltid </w:t>
      </w:r>
      <w:proofErr w:type="spellStart"/>
      <w:r w:rsidRPr="00E077DA">
        <w:rPr>
          <w:i/>
          <w:iCs/>
        </w:rPr>
        <w:t>konsekvensutredes</w:t>
      </w:r>
      <w:proofErr w:type="spellEnd"/>
      <w:r w:rsidRPr="00E077DA">
        <w:rPr>
          <w:i/>
          <w:iCs/>
        </w:rPr>
        <w:t xml:space="preserve"> og ha planprogram eller melding:</w:t>
      </w:r>
    </w:p>
    <w:p w14:paraId="08D336A3" w14:textId="77777777" w:rsidR="009A11A9" w:rsidRPr="00E077DA" w:rsidRDefault="009A11A9" w:rsidP="00E077DA">
      <w:pPr>
        <w:pStyle w:val="Listeavsnitt"/>
        <w:widowControl w:val="0"/>
        <w:numPr>
          <w:ilvl w:val="0"/>
          <w:numId w:val="5"/>
        </w:numPr>
        <w:pBdr>
          <w:top w:val="single" w:sz="4" w:space="1" w:color="auto"/>
          <w:left w:val="single" w:sz="4" w:space="4" w:color="auto"/>
          <w:bottom w:val="single" w:sz="4" w:space="1" w:color="auto"/>
          <w:right w:val="single" w:sz="4" w:space="4" w:color="auto"/>
        </w:pBdr>
        <w:spacing w:line="240" w:lineRule="auto"/>
        <w:ind w:left="1440"/>
        <w:contextualSpacing w:val="0"/>
        <w:rPr>
          <w:i/>
          <w:iCs/>
        </w:rPr>
      </w:pPr>
      <w:r w:rsidRPr="00E077DA">
        <w:rPr>
          <w:i/>
          <w:iCs/>
        </w:rPr>
        <w:t>[…]</w:t>
      </w:r>
    </w:p>
    <w:p w14:paraId="29E3B148" w14:textId="77777777" w:rsidR="009A11A9" w:rsidRPr="00E077DA" w:rsidRDefault="009A11A9" w:rsidP="00E077DA">
      <w:pPr>
        <w:pStyle w:val="Listeavsnitt"/>
        <w:widowControl w:val="0"/>
        <w:numPr>
          <w:ilvl w:val="0"/>
          <w:numId w:val="5"/>
        </w:numPr>
        <w:pBdr>
          <w:top w:val="single" w:sz="4" w:space="1" w:color="auto"/>
          <w:left w:val="single" w:sz="4" w:space="4" w:color="auto"/>
          <w:bottom w:val="single" w:sz="4" w:space="1" w:color="auto"/>
          <w:right w:val="single" w:sz="4" w:space="4" w:color="auto"/>
        </w:pBdr>
        <w:spacing w:line="240" w:lineRule="auto"/>
        <w:ind w:left="1440"/>
        <w:contextualSpacing w:val="0"/>
        <w:rPr>
          <w:i/>
          <w:iCs/>
        </w:rPr>
      </w:pPr>
      <w:r w:rsidRPr="00E077DA">
        <w:rPr>
          <w:i/>
          <w:iCs/>
        </w:rPr>
        <w:t xml:space="preserve">reguleringsplaner etter plan- og bygningsloven for tiltak i vedlegg I. Unntatt fra dette er reguleringsplaner der det konkrete tiltaket er </w:t>
      </w:r>
      <w:proofErr w:type="spellStart"/>
      <w:r w:rsidRPr="00E077DA">
        <w:rPr>
          <w:i/>
          <w:iCs/>
        </w:rPr>
        <w:t>konsekvensutredet</w:t>
      </w:r>
      <w:proofErr w:type="spellEnd"/>
      <w:r w:rsidRPr="00E077DA">
        <w:rPr>
          <w:i/>
          <w:iCs/>
        </w:rPr>
        <w:t xml:space="preserve"> i en tidligere plan og der reguleringsplanen er i samsvar med denne tidligere planen</w:t>
      </w:r>
    </w:p>
    <w:p w14:paraId="54037CAE" w14:textId="77777777" w:rsidR="00E077DA" w:rsidRDefault="00E077DA">
      <w:r>
        <w:br w:type="page"/>
      </w:r>
    </w:p>
    <w:p w14:paraId="7D40E86A" w14:textId="2237DC19" w:rsidR="009A11A9" w:rsidRPr="00E077DA" w:rsidRDefault="00E077DA" w:rsidP="00E077DA">
      <w:r w:rsidRPr="00E077DA">
        <w:lastRenderedPageBreak/>
        <w:t>Og v</w:t>
      </w:r>
      <w:r w:rsidR="009A11A9" w:rsidRPr="00E077DA">
        <w:t>edlegg I til forskriften sier flg.</w:t>
      </w:r>
      <w:r w:rsidRPr="00E077DA">
        <w:t>:</w:t>
      </w:r>
    </w:p>
    <w:p w14:paraId="19259D3B" w14:textId="77777777" w:rsidR="009A11A9" w:rsidRPr="00E077DA" w:rsidRDefault="009A11A9" w:rsidP="00E077DA">
      <w:pPr>
        <w:ind w:left="720"/>
        <w:rPr>
          <w:b/>
          <w:bCs/>
          <w:i/>
          <w:iCs/>
        </w:rPr>
      </w:pPr>
      <w:r w:rsidRPr="00E077DA">
        <w:rPr>
          <w:b/>
          <w:bCs/>
          <w:i/>
          <w:iCs/>
        </w:rPr>
        <w:t>VEDLEGG I. Planer etter plan- og bygningsloven og tiltak etter annet lovverk som alltid skal ha planprogram eller melding og konsekvensutredning</w:t>
      </w:r>
    </w:p>
    <w:tbl>
      <w:tblPr>
        <w:tblStyle w:val="Tabellrutenett"/>
        <w:tblW w:w="8489" w:type="dxa"/>
        <w:tblInd w:w="720" w:type="dxa"/>
        <w:tblLook w:val="04A0" w:firstRow="1" w:lastRow="0" w:firstColumn="1" w:lastColumn="0" w:noHBand="0" w:noVBand="1"/>
      </w:tblPr>
      <w:tblGrid>
        <w:gridCol w:w="936"/>
        <w:gridCol w:w="4435"/>
        <w:gridCol w:w="3118"/>
      </w:tblGrid>
      <w:tr w:rsidR="009A11A9" w:rsidRPr="00E077DA" w14:paraId="4A4DD7E4" w14:textId="77777777" w:rsidTr="00EA329D">
        <w:tc>
          <w:tcPr>
            <w:tcW w:w="5371" w:type="dxa"/>
            <w:gridSpan w:val="2"/>
          </w:tcPr>
          <w:p w14:paraId="530D927C" w14:textId="77777777" w:rsidR="009A11A9" w:rsidRPr="00E077DA" w:rsidRDefault="009A11A9" w:rsidP="00E077DA">
            <w:pPr>
              <w:spacing w:after="160"/>
              <w:rPr>
                <w:rFonts w:asciiTheme="minorHAnsi" w:hAnsiTheme="minorHAnsi"/>
                <w:b/>
                <w:bCs/>
                <w:i/>
                <w:iCs/>
                <w:sz w:val="22"/>
                <w:szCs w:val="22"/>
              </w:rPr>
            </w:pPr>
            <w:r w:rsidRPr="00E077DA">
              <w:rPr>
                <w:rFonts w:asciiTheme="minorHAnsi" w:hAnsiTheme="minorHAnsi"/>
                <w:b/>
                <w:bCs/>
                <w:i/>
                <w:iCs/>
                <w:sz w:val="22"/>
                <w:szCs w:val="22"/>
              </w:rPr>
              <w:t>A. Planer og tiltak</w:t>
            </w:r>
          </w:p>
        </w:tc>
        <w:tc>
          <w:tcPr>
            <w:tcW w:w="3118" w:type="dxa"/>
          </w:tcPr>
          <w:p w14:paraId="4AB985C6" w14:textId="77777777" w:rsidR="009A11A9" w:rsidRPr="00E077DA" w:rsidRDefault="009A11A9" w:rsidP="00E077DA">
            <w:pPr>
              <w:spacing w:after="160"/>
              <w:rPr>
                <w:rFonts w:asciiTheme="minorHAnsi" w:hAnsiTheme="minorHAnsi"/>
                <w:b/>
                <w:bCs/>
                <w:i/>
                <w:iCs/>
                <w:sz w:val="22"/>
                <w:szCs w:val="22"/>
              </w:rPr>
            </w:pPr>
            <w:r w:rsidRPr="00E077DA">
              <w:rPr>
                <w:rFonts w:asciiTheme="minorHAnsi" w:hAnsiTheme="minorHAnsi"/>
                <w:b/>
                <w:bCs/>
                <w:i/>
                <w:iCs/>
                <w:sz w:val="22"/>
                <w:szCs w:val="22"/>
              </w:rPr>
              <w:t>B. Ansvarlig myndighet og lov(er) behandlingen knyttes opp til</w:t>
            </w:r>
          </w:p>
        </w:tc>
      </w:tr>
      <w:tr w:rsidR="009A11A9" w:rsidRPr="00E077DA" w14:paraId="31D68711" w14:textId="77777777" w:rsidTr="00EA329D">
        <w:tc>
          <w:tcPr>
            <w:tcW w:w="936" w:type="dxa"/>
          </w:tcPr>
          <w:p w14:paraId="2760334D"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w:t>
            </w:r>
          </w:p>
        </w:tc>
        <w:tc>
          <w:tcPr>
            <w:tcW w:w="4435" w:type="dxa"/>
          </w:tcPr>
          <w:p w14:paraId="309CD2E9"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w:t>
            </w:r>
          </w:p>
        </w:tc>
        <w:tc>
          <w:tcPr>
            <w:tcW w:w="3118" w:type="dxa"/>
          </w:tcPr>
          <w:p w14:paraId="0B54087E"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w:t>
            </w:r>
          </w:p>
        </w:tc>
      </w:tr>
      <w:tr w:rsidR="009A11A9" w:rsidRPr="00E077DA" w14:paraId="72C005DE" w14:textId="77777777" w:rsidTr="00EA329D">
        <w:tc>
          <w:tcPr>
            <w:tcW w:w="936" w:type="dxa"/>
          </w:tcPr>
          <w:p w14:paraId="0E0860FC"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25.</w:t>
            </w:r>
          </w:p>
        </w:tc>
        <w:tc>
          <w:tcPr>
            <w:tcW w:w="4435" w:type="dxa"/>
          </w:tcPr>
          <w:p w14:paraId="727D53CC"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Nye bolig- og fritidsboligområder som ikke er i samsvar med overordnet plan.</w:t>
            </w:r>
          </w:p>
        </w:tc>
        <w:tc>
          <w:tcPr>
            <w:tcW w:w="3118" w:type="dxa"/>
          </w:tcPr>
          <w:p w14:paraId="4D04B869" w14:textId="77777777" w:rsidR="009A11A9" w:rsidRPr="00E077DA" w:rsidRDefault="009A11A9" w:rsidP="00E077DA">
            <w:pPr>
              <w:spacing w:after="160"/>
              <w:rPr>
                <w:rFonts w:asciiTheme="minorHAnsi" w:hAnsiTheme="minorHAnsi"/>
                <w:i/>
                <w:iCs/>
                <w:sz w:val="22"/>
                <w:szCs w:val="22"/>
              </w:rPr>
            </w:pPr>
            <w:r w:rsidRPr="00E077DA">
              <w:rPr>
                <w:rFonts w:asciiTheme="minorHAnsi" w:hAnsiTheme="minorHAnsi"/>
                <w:i/>
                <w:iCs/>
                <w:sz w:val="22"/>
                <w:szCs w:val="22"/>
              </w:rPr>
              <w:t>Planmyndigheten. Plan- og bygningsloven.</w:t>
            </w:r>
          </w:p>
          <w:p w14:paraId="4923855C" w14:textId="77777777" w:rsidR="009A11A9" w:rsidRPr="00E077DA" w:rsidRDefault="009A11A9" w:rsidP="00E077DA">
            <w:pPr>
              <w:spacing w:after="160"/>
              <w:rPr>
                <w:rFonts w:asciiTheme="minorHAnsi" w:hAnsiTheme="minorHAnsi"/>
                <w:i/>
                <w:iCs/>
                <w:sz w:val="22"/>
                <w:szCs w:val="22"/>
              </w:rPr>
            </w:pPr>
          </w:p>
        </w:tc>
      </w:tr>
    </w:tbl>
    <w:p w14:paraId="62B293DB" w14:textId="77777777" w:rsidR="00E077DA" w:rsidRDefault="00E077DA" w:rsidP="00E077DA"/>
    <w:p w14:paraId="3A77FD1E" w14:textId="77DF123F" w:rsidR="009A11A9" w:rsidRPr="00E077DA" w:rsidRDefault="009A11A9" w:rsidP="00E077DA">
      <w:r w:rsidRPr="00E077DA">
        <w:t>Jf. veileder til Forskrift om konsekvensutredning gjelder følgende tolkning av forskriften (vår uthevning):</w:t>
      </w:r>
    </w:p>
    <w:p w14:paraId="28363201"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b/>
          <w:bCs/>
          <w:i/>
          <w:iCs/>
        </w:rPr>
      </w:pPr>
      <w:r w:rsidRPr="00E077DA">
        <w:rPr>
          <w:b/>
          <w:bCs/>
          <w:i/>
          <w:iCs/>
        </w:rPr>
        <w:t>8.1.3 Nr. 25: Nye bolig- og fritidsboligområder</w:t>
      </w:r>
    </w:p>
    <w:p w14:paraId="42291C7E"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 xml:space="preserve">«Nye bolig- og fritidsboligområder som ikke er i samsvar med overordnet plan.» </w:t>
      </w:r>
    </w:p>
    <w:p w14:paraId="58C561B6"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Bestemmelsen presiserer ikke hva, eller hvor stort, et «område» er, og det er stilt spørsmål ved hvor grensen går for når KU-kravet inntreffer i ulike tilfeller.</w:t>
      </w:r>
    </w:p>
    <w:p w14:paraId="3770BAA0"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Med bakgrunn i tidligere bestemmelser, hva som ble sagt ved lovendringene i 2017 (</w:t>
      </w:r>
      <w:proofErr w:type="spellStart"/>
      <w:r w:rsidRPr="00E077DA">
        <w:rPr>
          <w:i/>
          <w:iCs/>
        </w:rPr>
        <w:t>Prop</w:t>
      </w:r>
      <w:proofErr w:type="spellEnd"/>
      <w:r w:rsidRPr="00E077DA">
        <w:rPr>
          <w:i/>
          <w:iCs/>
        </w:rPr>
        <w:t xml:space="preserve">. 110 L (2016-2017)), og sagt i høringsnotatet ved revisjonen av forskriften i 2017, legges det til grunn at i bestemmelsen er det ment nye områder for bolig- og fritidsboliger av en viss størrelse. Departementet legger derfor til grunn at </w:t>
      </w:r>
      <w:r w:rsidRPr="00E077DA">
        <w:rPr>
          <w:b/>
          <w:bCs/>
          <w:i/>
          <w:iCs/>
          <w:u w:val="single"/>
        </w:rPr>
        <w:t>bestemmelsen i vedlegg I nr. 25 omfatter områder på 15 dekar eller mer</w:t>
      </w:r>
      <w:r w:rsidRPr="00E077DA">
        <w:rPr>
          <w:i/>
          <w:iCs/>
        </w:rPr>
        <w:t>, det vil si samme størrelseskriteriet som i 2014-forskriften (§ 2 bokstav b). Bestemmelsen gjelder både ved områderegulering og detaljregulering av slike områder. Det understrekes at bestemmelsen kun gjelder regulering som ikke er i samsvar med overordnet plan.</w:t>
      </w:r>
    </w:p>
    <w:p w14:paraId="75510B0E"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 xml:space="preserve">Slik som bestemmelsen er formulert kommer den også til anvendelse ved endring av arealformålet fra utbyggingsformål til bolig eller fritidsbolig, dersom planen legger til rette for en mer omfattende utbygging. Det forutsettes i slike tilfeller at planen er i strid med overordnet plan på vesentlige punker. Med omregulering fra utbyggingsformål, menes områder som i kommuneplanens arealdel er avsatt til bebyggelse og anlegg etter </w:t>
      </w:r>
      <w:proofErr w:type="spellStart"/>
      <w:r w:rsidRPr="00E077DA">
        <w:rPr>
          <w:i/>
          <w:iCs/>
        </w:rPr>
        <w:t>pbl</w:t>
      </w:r>
      <w:proofErr w:type="spellEnd"/>
      <w:r w:rsidRPr="00E077DA">
        <w:rPr>
          <w:i/>
          <w:iCs/>
        </w:rPr>
        <w:t>. 11-7 nr. 1, men som ikke har blitt gitt underformål boligbebyggelse eller fritidsbebyggelse.</w:t>
      </w:r>
    </w:p>
    <w:p w14:paraId="533BA9F1" w14:textId="77777777" w:rsidR="009A11A9" w:rsidRPr="00E077DA" w:rsidRDefault="009A11A9" w:rsidP="00E077DA">
      <w:pPr>
        <w:pBdr>
          <w:top w:val="single" w:sz="4" w:space="1" w:color="auto"/>
          <w:left w:val="single" w:sz="4" w:space="4" w:color="auto"/>
          <w:bottom w:val="single" w:sz="4" w:space="1" w:color="auto"/>
          <w:right w:val="single" w:sz="4" w:space="4" w:color="auto"/>
        </w:pBdr>
        <w:ind w:left="720"/>
        <w:rPr>
          <w:i/>
          <w:iCs/>
        </w:rPr>
      </w:pPr>
      <w:r w:rsidRPr="00E077DA">
        <w:rPr>
          <w:i/>
          <w:iCs/>
        </w:rPr>
        <w:t>Ved utvidelse av eksisterende bolig- og fritidsboligområder, må utvidelsen i seg selv være på 15 dekar eller mer, og omfatte et område som tidligere ikke er avsatt til utbyggingsformål for at regulering kommer inn under bestemmelsen.</w:t>
      </w:r>
    </w:p>
    <w:p w14:paraId="4723DF39" w14:textId="77777777" w:rsidR="00E077DA" w:rsidRDefault="00E077DA" w:rsidP="00E077DA">
      <w:pPr>
        <w:tabs>
          <w:tab w:val="left" w:pos="2204"/>
        </w:tabs>
      </w:pPr>
    </w:p>
    <w:p w14:paraId="3C9F6056" w14:textId="6F7719C0" w:rsidR="009A11A9" w:rsidRPr="00E077DA" w:rsidRDefault="009A11A9" w:rsidP="00E077DA">
      <w:pPr>
        <w:tabs>
          <w:tab w:val="left" w:pos="2204"/>
        </w:tabs>
      </w:pPr>
      <w:r w:rsidRPr="00E077DA">
        <w:t>De to eiendommene, som ønskes omregulert (GNR/BNR 13/60 og 13/70) omfatter et samlet areal på ca. 5,5 daa. Og selv om det skal bli behov for å ta med del av tilgrensende vegnett i planområdet, så vil ikke grensen på 15 daa nås.</w:t>
      </w:r>
    </w:p>
    <w:p w14:paraId="493FA6BF" w14:textId="77777777" w:rsidR="009A11A9" w:rsidRPr="00E077DA" w:rsidRDefault="009A11A9" w:rsidP="00E077DA"/>
    <w:p w14:paraId="7CE5BF41" w14:textId="575B2E38" w:rsidR="009A11A9" w:rsidRPr="00E077DA" w:rsidRDefault="009A11A9" w:rsidP="00E077DA">
      <w:r w:rsidRPr="00E077DA">
        <w:lastRenderedPageBreak/>
        <w:t>Samtidig innehar tidligere bruk (off. eldresenter) også boliger.</w:t>
      </w:r>
      <w:r w:rsidR="00E077DA">
        <w:t xml:space="preserve"> </w:t>
      </w:r>
      <w:r w:rsidRPr="00E077DA">
        <w:t>Og planområdet ligger omkranset av boligformål i Kommuneplanens Arealdel (KPA) på tre sider. Mens området i faktisk utbygget situasjon er omgitt av boliger til alle sider.</w:t>
      </w:r>
    </w:p>
    <w:p w14:paraId="0AE39E73" w14:textId="1E2404A9" w:rsidR="003E274E" w:rsidRPr="00E077DA" w:rsidRDefault="003C717F" w:rsidP="00E077DA">
      <w:r w:rsidRPr="00E077DA">
        <w:t>Veilederen avklarer også at regulering at boligområder i byer og tettsteder som kan få alvorlige konsekvenser for miljø eller samfunn kan få krav til KU:</w:t>
      </w:r>
    </w:p>
    <w:tbl>
      <w:tblPr>
        <w:tblStyle w:val="Tabellrutenett"/>
        <w:tblW w:w="0" w:type="auto"/>
        <w:tblLook w:val="04A0" w:firstRow="1" w:lastRow="0" w:firstColumn="1" w:lastColumn="0" w:noHBand="0" w:noVBand="1"/>
      </w:tblPr>
      <w:tblGrid>
        <w:gridCol w:w="9062"/>
      </w:tblGrid>
      <w:tr w:rsidR="003C717F" w:rsidRPr="00E077DA" w14:paraId="3975A814" w14:textId="77777777" w:rsidTr="003E274E">
        <w:tc>
          <w:tcPr>
            <w:tcW w:w="9062" w:type="dxa"/>
          </w:tcPr>
          <w:p w14:paraId="6C215A10" w14:textId="77777777" w:rsidR="003E274E" w:rsidRPr="00E077DA" w:rsidRDefault="003E274E" w:rsidP="00E077DA">
            <w:pPr>
              <w:spacing w:after="160"/>
              <w:rPr>
                <w:rFonts w:asciiTheme="minorHAnsi" w:hAnsiTheme="minorHAnsi" w:cstheme="majorHAnsi"/>
                <w:i/>
                <w:iCs/>
                <w:sz w:val="22"/>
                <w:szCs w:val="22"/>
              </w:rPr>
            </w:pPr>
            <w:r w:rsidRPr="00E077DA">
              <w:rPr>
                <w:rFonts w:asciiTheme="minorHAnsi" w:hAnsiTheme="minorHAnsi" w:cstheme="majorHAnsi"/>
                <w:i/>
                <w:iCs/>
                <w:sz w:val="22"/>
                <w:szCs w:val="22"/>
              </w:rPr>
              <w:t>Etablering eller regulering av mindre boligområder som ikke er omfattet av denne bestemmelsen, og som er en del av sentrumsutvikling i byer og tettsteder, vil kunne omfattes av</w:t>
            </w:r>
          </w:p>
          <w:p w14:paraId="46760A4B" w14:textId="7372468A" w:rsidR="003E274E" w:rsidRPr="00E077DA" w:rsidRDefault="003E274E" w:rsidP="00E077DA">
            <w:pPr>
              <w:spacing w:after="160"/>
              <w:rPr>
                <w:rFonts w:asciiTheme="minorHAnsi" w:hAnsiTheme="minorHAnsi"/>
                <w:sz w:val="22"/>
                <w:szCs w:val="22"/>
              </w:rPr>
            </w:pPr>
            <w:r w:rsidRPr="00E077DA">
              <w:rPr>
                <w:rFonts w:asciiTheme="minorHAnsi" w:hAnsiTheme="minorHAnsi" w:cstheme="majorHAnsi"/>
                <w:i/>
                <w:iCs/>
                <w:sz w:val="22"/>
                <w:szCs w:val="22"/>
              </w:rPr>
              <w:t>vedlegg II nr. 10 bokstav b, dersom reguleringen vil medføre negative virkninger for miljø</w:t>
            </w:r>
            <w:r w:rsidR="003C717F" w:rsidRPr="00E077DA">
              <w:rPr>
                <w:rFonts w:asciiTheme="minorHAnsi" w:hAnsiTheme="minorHAnsi" w:cstheme="majorHAnsi"/>
                <w:i/>
                <w:iCs/>
                <w:sz w:val="22"/>
                <w:szCs w:val="22"/>
              </w:rPr>
              <w:t xml:space="preserve"> </w:t>
            </w:r>
            <w:r w:rsidRPr="00E077DA">
              <w:rPr>
                <w:rFonts w:asciiTheme="minorHAnsi" w:hAnsiTheme="minorHAnsi" w:cstheme="majorHAnsi"/>
                <w:i/>
                <w:iCs/>
                <w:sz w:val="22"/>
                <w:szCs w:val="22"/>
              </w:rPr>
              <w:t>eller samfunn.</w:t>
            </w:r>
          </w:p>
        </w:tc>
      </w:tr>
    </w:tbl>
    <w:p w14:paraId="61ECE35A" w14:textId="77777777" w:rsidR="003E274E" w:rsidRPr="00E077DA" w:rsidRDefault="003E274E" w:rsidP="00E077DA"/>
    <w:p w14:paraId="14E71F2C" w14:textId="59425CBF" w:rsidR="009A11A9" w:rsidRPr="00E077DA" w:rsidRDefault="0087544D" w:rsidP="00E077DA">
      <w:r w:rsidRPr="00E077DA">
        <w:t xml:space="preserve">Vedlagt foreløpig ROS-analyse med forslag til ROS-tema </w:t>
      </w:r>
      <w:r w:rsidR="000A507D" w:rsidRPr="00E077DA">
        <w:t xml:space="preserve">til anmodning om planoppstart </w:t>
      </w:r>
      <w:r w:rsidRPr="00E077DA">
        <w:t xml:space="preserve">avdekker ingen sårbare natur- eller samfunnsverdier </w:t>
      </w:r>
      <w:r w:rsidR="000A507D" w:rsidRPr="00E077DA">
        <w:t>som kan bli</w:t>
      </w:r>
      <w:r w:rsidRPr="00E077DA">
        <w:t xml:space="preserve"> negativt påvirket av planforslaget.</w:t>
      </w:r>
    </w:p>
    <w:p w14:paraId="01A38686" w14:textId="77777777" w:rsidR="009A11A9" w:rsidRPr="00E077DA" w:rsidRDefault="009A11A9" w:rsidP="00E077DA">
      <w:r w:rsidRPr="00E077DA">
        <w:t xml:space="preserve">Planområdet vil derfor fremstå som en naturlig videreføring av boligområdet på Stadsbygd og ikke som et "nytt boligområde". Dermed vurderes </w:t>
      </w:r>
      <w:r w:rsidRPr="00E077DA">
        <w:rPr>
          <w:u w:val="single"/>
        </w:rPr>
        <w:t>ikke</w:t>
      </w:r>
      <w:r w:rsidRPr="00E077DA">
        <w:t xml:space="preserve"> en detaljreguleringsplan for boliger å være konsekvensutredningspliktig iht. forskriften.</w:t>
      </w:r>
    </w:p>
    <w:p w14:paraId="126EB38B" w14:textId="21C769C7" w:rsidR="009A11A9" w:rsidRPr="00E077DA" w:rsidRDefault="009A11A9" w:rsidP="00E077DA">
      <w:r w:rsidRPr="00E077DA">
        <w:t xml:space="preserve">Krav om konsekvensutredning for detaljregulering </w:t>
      </w:r>
      <w:r w:rsidR="00F4589B">
        <w:t>klareres endelig</w:t>
      </w:r>
      <w:r w:rsidRPr="00E077DA">
        <w:t xml:space="preserve"> sammen med kommunen senest i oppstartsmøtet.</w:t>
      </w:r>
    </w:p>
    <w:sectPr w:rsidR="009A11A9" w:rsidRPr="00E07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E7"/>
    <w:multiLevelType w:val="hybridMultilevel"/>
    <w:tmpl w:val="6066B8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CB392C"/>
    <w:multiLevelType w:val="hybridMultilevel"/>
    <w:tmpl w:val="2CA408F2"/>
    <w:lvl w:ilvl="0" w:tplc="A55EB278">
      <w:start w:val="1"/>
      <w:numFmt w:val="lowerLetter"/>
      <w:pStyle w:val="Overskrift2"/>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466A57"/>
    <w:multiLevelType w:val="hybridMultilevel"/>
    <w:tmpl w:val="1A163856"/>
    <w:lvl w:ilvl="0" w:tplc="15E69B3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C90F49"/>
    <w:multiLevelType w:val="hybridMultilevel"/>
    <w:tmpl w:val="CEB69F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265BA3"/>
    <w:multiLevelType w:val="hybridMultilevel"/>
    <w:tmpl w:val="673824D2"/>
    <w:lvl w:ilvl="0" w:tplc="7ED89C5E">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7036DF2"/>
    <w:multiLevelType w:val="hybridMultilevel"/>
    <w:tmpl w:val="E0060B78"/>
    <w:lvl w:ilvl="0" w:tplc="676CFD6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2C"/>
    <w:rsid w:val="000A507D"/>
    <w:rsid w:val="000D1E6A"/>
    <w:rsid w:val="001106C7"/>
    <w:rsid w:val="00122BAC"/>
    <w:rsid w:val="00182710"/>
    <w:rsid w:val="001F0860"/>
    <w:rsid w:val="00204BBE"/>
    <w:rsid w:val="00294B3C"/>
    <w:rsid w:val="002C33E7"/>
    <w:rsid w:val="00343D19"/>
    <w:rsid w:val="003C717F"/>
    <w:rsid w:val="003E274E"/>
    <w:rsid w:val="00400AFA"/>
    <w:rsid w:val="00631BE3"/>
    <w:rsid w:val="007D4441"/>
    <w:rsid w:val="00872C05"/>
    <w:rsid w:val="0087544D"/>
    <w:rsid w:val="00895A28"/>
    <w:rsid w:val="008C0B17"/>
    <w:rsid w:val="00935A5F"/>
    <w:rsid w:val="009A11A9"/>
    <w:rsid w:val="009B2998"/>
    <w:rsid w:val="009D2E88"/>
    <w:rsid w:val="009F264E"/>
    <w:rsid w:val="00A75A09"/>
    <w:rsid w:val="00BA032E"/>
    <w:rsid w:val="00C923F2"/>
    <w:rsid w:val="00C928E4"/>
    <w:rsid w:val="00CC592C"/>
    <w:rsid w:val="00CE40B8"/>
    <w:rsid w:val="00D250C3"/>
    <w:rsid w:val="00D256E1"/>
    <w:rsid w:val="00D944B2"/>
    <w:rsid w:val="00DB53A3"/>
    <w:rsid w:val="00DC5513"/>
    <w:rsid w:val="00DC7840"/>
    <w:rsid w:val="00DD37D7"/>
    <w:rsid w:val="00DD7C38"/>
    <w:rsid w:val="00E077DA"/>
    <w:rsid w:val="00F10C77"/>
    <w:rsid w:val="00F458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9A8"/>
  <w15:chartTrackingRefBased/>
  <w15:docId w15:val="{6EF80BBE-89FC-41A0-9274-B75FD3A9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37D7"/>
    <w:pPr>
      <w:keepNext/>
      <w:keepLines/>
      <w:spacing w:before="240" w:after="0"/>
      <w:outlineLvl w:val="0"/>
    </w:pPr>
    <w:rPr>
      <w:rFonts w:asciiTheme="majorHAnsi" w:eastAsiaTheme="majorEastAsia" w:hAnsiTheme="majorHAnsi" w:cstheme="majorBidi"/>
      <w:sz w:val="28"/>
      <w:szCs w:val="32"/>
    </w:rPr>
  </w:style>
  <w:style w:type="paragraph" w:styleId="Overskrift2">
    <w:name w:val="heading 2"/>
    <w:basedOn w:val="Normal"/>
    <w:next w:val="Normal"/>
    <w:link w:val="Overskrift2Tegn"/>
    <w:uiPriority w:val="9"/>
    <w:unhideWhenUsed/>
    <w:qFormat/>
    <w:rsid w:val="00182710"/>
    <w:pPr>
      <w:keepNext/>
      <w:keepLines/>
      <w:numPr>
        <w:numId w:val="4"/>
      </w:numPr>
      <w:spacing w:before="40" w:after="0"/>
      <w:ind w:left="360"/>
      <w:outlineLvl w:val="1"/>
    </w:pPr>
    <w:rPr>
      <w:rFonts w:asciiTheme="majorHAnsi" w:eastAsiaTheme="majorEastAsia" w:hAnsiTheme="majorHAnsi" w:cstheme="majorBidi"/>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37D7"/>
    <w:rPr>
      <w:rFonts w:asciiTheme="majorHAnsi" w:eastAsiaTheme="majorEastAsia" w:hAnsiTheme="majorHAnsi" w:cstheme="majorBidi"/>
      <w:sz w:val="28"/>
      <w:szCs w:val="32"/>
    </w:rPr>
  </w:style>
  <w:style w:type="paragraph" w:styleId="Listeavsnitt">
    <w:name w:val="List Paragraph"/>
    <w:basedOn w:val="Normal"/>
    <w:uiPriority w:val="34"/>
    <w:qFormat/>
    <w:rsid w:val="00C923F2"/>
    <w:pPr>
      <w:ind w:left="720"/>
      <w:contextualSpacing/>
    </w:pPr>
  </w:style>
  <w:style w:type="paragraph" w:styleId="Tittel">
    <w:name w:val="Title"/>
    <w:basedOn w:val="Normal"/>
    <w:next w:val="Normal"/>
    <w:link w:val="TittelTegn"/>
    <w:uiPriority w:val="10"/>
    <w:qFormat/>
    <w:rsid w:val="00C92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928E4"/>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82710"/>
    <w:rPr>
      <w:rFonts w:asciiTheme="majorHAnsi" w:eastAsiaTheme="majorEastAsia" w:hAnsiTheme="majorHAnsi" w:cstheme="majorBidi"/>
      <w:sz w:val="26"/>
      <w:szCs w:val="26"/>
    </w:rPr>
  </w:style>
  <w:style w:type="table" w:styleId="Tabellrutenett">
    <w:name w:val="Table Grid"/>
    <w:basedOn w:val="Vanligtabell"/>
    <w:uiPriority w:val="59"/>
    <w:rsid w:val="009A11A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5</Pages>
  <Words>1666</Words>
  <Characters>8831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Torstein Strand</dc:creator>
  <cp:keywords/>
  <dc:description/>
  <cp:lastModifiedBy>Marthe Skjørholm</cp:lastModifiedBy>
  <cp:revision>23</cp:revision>
  <dcterms:created xsi:type="dcterms:W3CDTF">2021-08-25T08:09:00Z</dcterms:created>
  <dcterms:modified xsi:type="dcterms:W3CDTF">2021-10-10T20:25:00Z</dcterms:modified>
</cp:coreProperties>
</file>