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ind w:left="4"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Lesreglement zomertraining TC de Uithof 2024</w:t>
      </w:r>
    </w:p>
    <w:p w:rsidR="00000000" w:rsidDel="00000000" w:rsidP="00000000" w:rsidRDefault="00000000" w:rsidRPr="00000000" w14:paraId="0000000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4" w:firstLine="0"/>
        <w:rPr>
          <w:rFonts w:ascii="Cambria" w:cs="Cambria" w:eastAsia="Cambria" w:hAnsi="Cambria"/>
          <w:i w:val="1"/>
          <w:sz w:val="22"/>
          <w:szCs w:val="22"/>
        </w:rPr>
      </w:pPr>
      <w:r w:rsidDel="00000000" w:rsidR="00000000" w:rsidRPr="00000000">
        <w:rPr>
          <w:rFonts w:ascii="Cambria" w:cs="Cambria" w:eastAsia="Cambria" w:hAnsi="Cambria"/>
          <w:i w:val="1"/>
          <w:sz w:val="22"/>
          <w:szCs w:val="22"/>
          <w:rtl w:val="0"/>
        </w:rPr>
        <w:t xml:space="preserve">Algemeen</w:t>
      </w:r>
    </w:p>
    <w:p w:rsidR="00000000" w:rsidDel="00000000" w:rsidP="00000000" w:rsidRDefault="00000000" w:rsidRPr="00000000" w14:paraId="00000004">
      <w:pPr>
        <w:numPr>
          <w:ilvl w:val="0"/>
          <w:numId w:val="4"/>
        </w:numPr>
        <w:tabs>
          <w:tab w:val="left" w:leader="none" w:pos="220"/>
        </w:tabs>
        <w:ind w:left="4" w:right="126" w:hanging="4"/>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Onder een lesuur wordt een tijdseenheid van 50 minuten effectief tennis verstaan. De baangebruik is echter 60 minuten. Dit wil zeggen dat dit de trainers 10 minuten de ruimte geeft voor eten, administratie en toiletbezoek ed.</w:t>
      </w:r>
    </w:p>
    <w:p w:rsidR="00000000" w:rsidDel="00000000" w:rsidP="00000000" w:rsidRDefault="00000000" w:rsidRPr="00000000" w14:paraId="00000005">
      <w:pPr>
        <w:spacing w:line="25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4" w:firstLine="0"/>
        <w:rPr>
          <w:rFonts w:ascii="Cambria" w:cs="Cambria" w:eastAsia="Cambria" w:hAnsi="Cambria"/>
          <w:i w:val="1"/>
          <w:sz w:val="22"/>
          <w:szCs w:val="22"/>
        </w:rPr>
      </w:pPr>
      <w:r w:rsidDel="00000000" w:rsidR="00000000" w:rsidRPr="00000000">
        <w:rPr>
          <w:rFonts w:ascii="Cambria" w:cs="Cambria" w:eastAsia="Cambria" w:hAnsi="Cambria"/>
          <w:i w:val="1"/>
          <w:sz w:val="22"/>
          <w:szCs w:val="22"/>
          <w:rtl w:val="0"/>
        </w:rPr>
        <w:t xml:space="preserve">Indeling</w:t>
      </w:r>
    </w:p>
    <w:p w:rsidR="00000000" w:rsidDel="00000000" w:rsidP="00000000" w:rsidRDefault="00000000" w:rsidRPr="00000000" w14:paraId="00000007">
      <w:pPr>
        <w:numPr>
          <w:ilvl w:val="0"/>
          <w:numId w:val="1"/>
        </w:numPr>
        <w:tabs>
          <w:tab w:val="left" w:leader="none" w:pos="220"/>
        </w:tabs>
        <w:ind w:left="4" w:right="886" w:hanging="4"/>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Men kan pas worden ingedeeld na het hebben van een geldige OlymPas en de betaling heeft voltooid.</w:t>
      </w:r>
    </w:p>
    <w:p w:rsidR="00000000" w:rsidDel="00000000" w:rsidP="00000000" w:rsidRDefault="00000000" w:rsidRPr="00000000" w14:paraId="00000008">
      <w:pPr>
        <w:numPr>
          <w:ilvl w:val="0"/>
          <w:numId w:val="1"/>
        </w:numPr>
        <w:tabs>
          <w:tab w:val="left" w:leader="none" w:pos="220"/>
        </w:tabs>
        <w:ind w:left="4" w:right="306" w:hanging="4"/>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Het indelen van de trainingsgroepen door de Tennis Commissie geschiedt op basis van Art 3.3.2 van het Huishoudelijk Reglement (HR).</w:t>
      </w:r>
    </w:p>
    <w:p w:rsidR="00000000" w:rsidDel="00000000" w:rsidP="00000000" w:rsidRDefault="00000000" w:rsidRPr="00000000" w14:paraId="00000009">
      <w:pPr>
        <w:numPr>
          <w:ilvl w:val="0"/>
          <w:numId w:val="1"/>
        </w:numPr>
        <w:tabs>
          <w:tab w:val="left" w:leader="none" w:pos="220"/>
        </w:tabs>
        <w:ind w:left="4" w:right="866" w:hanging="4"/>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 het bekendmaken van de indeling is de inschrijving definitief en ben je het lesgeld verschuldigd. Het lesgeld wordt nooit terugbetaald.</w:t>
      </w:r>
    </w:p>
    <w:p w:rsidR="00000000" w:rsidDel="00000000" w:rsidP="00000000" w:rsidRDefault="00000000" w:rsidRPr="00000000" w14:paraId="0000000A">
      <w:pPr>
        <w:numPr>
          <w:ilvl w:val="0"/>
          <w:numId w:val="1"/>
        </w:numPr>
        <w:tabs>
          <w:tab w:val="left" w:leader="none" w:pos="220"/>
        </w:tabs>
        <w:ind w:left="4" w:right="266" w:hanging="4"/>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Wanneer je consequent niet kan trainen op het tijdstip waarop je bent ingedeeld, kun je zelf ruilen met iemand anders die is ingedeeld voor de trainingen op een ander tijdstip. Een wissel van groep dient altijd gecommuniceerd te worden met de Tennis Commissie.</w:t>
      </w:r>
    </w:p>
    <w:p w:rsidR="00000000" w:rsidDel="00000000" w:rsidP="00000000" w:rsidRDefault="00000000" w:rsidRPr="00000000" w14:paraId="0000000B">
      <w:pPr>
        <w:numPr>
          <w:ilvl w:val="0"/>
          <w:numId w:val="1"/>
        </w:numPr>
        <w:tabs>
          <w:tab w:val="left" w:leader="none" w:pos="220"/>
        </w:tabs>
        <w:spacing w:line="239" w:lineRule="auto"/>
        <w:ind w:left="4" w:right="6" w:hanging="4"/>
        <w:rPr>
          <w:rFonts w:ascii="Cambria" w:cs="Cambria" w:eastAsia="Cambria" w:hAnsi="Cambria"/>
          <w:sz w:val="22"/>
          <w:szCs w:val="22"/>
        </w:rPr>
      </w:pPr>
      <w:bookmarkStart w:colFirst="0" w:colLast="0" w:name="_heading=h.30j0zll" w:id="1"/>
      <w:bookmarkEnd w:id="1"/>
      <w:r w:rsidDel="00000000" w:rsidR="00000000" w:rsidRPr="00000000">
        <w:rPr>
          <w:rFonts w:ascii="Cambria" w:cs="Cambria" w:eastAsia="Cambria" w:hAnsi="Cambria"/>
          <w:sz w:val="22"/>
          <w:szCs w:val="22"/>
          <w:rtl w:val="0"/>
        </w:rPr>
        <w:t xml:space="preserve">Indien al bij aanvang van de cursus door ziekte, blessure of anderszins de betrokken leerling niet in staat is de (gehele) cursus te volgen, is hij/zij gerechtigd om een ander zijn/haar plaats te laten trainen, mits deze cursist(e) van gelijkwaardig niveau is. De Tennis Commissie bepaalt of dit het geval is.</w:t>
      </w:r>
    </w:p>
    <w:p w:rsidR="00000000" w:rsidDel="00000000" w:rsidP="00000000" w:rsidRDefault="00000000" w:rsidRPr="00000000" w14:paraId="0000000C">
      <w:pPr>
        <w:spacing w:line="26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4" w:firstLine="0"/>
        <w:rPr>
          <w:rFonts w:ascii="Cambria" w:cs="Cambria" w:eastAsia="Cambria" w:hAnsi="Cambria"/>
          <w:i w:val="1"/>
          <w:sz w:val="22"/>
          <w:szCs w:val="22"/>
        </w:rPr>
      </w:pPr>
      <w:r w:rsidDel="00000000" w:rsidR="00000000" w:rsidRPr="00000000">
        <w:rPr>
          <w:rFonts w:ascii="Cambria" w:cs="Cambria" w:eastAsia="Cambria" w:hAnsi="Cambria"/>
          <w:i w:val="1"/>
          <w:sz w:val="22"/>
          <w:szCs w:val="22"/>
          <w:rtl w:val="0"/>
        </w:rPr>
        <w:t xml:space="preserve">Uitval</w:t>
      </w:r>
    </w:p>
    <w:p w:rsidR="00000000" w:rsidDel="00000000" w:rsidP="00000000" w:rsidRDefault="00000000" w:rsidRPr="00000000" w14:paraId="0000000E">
      <w:pPr>
        <w:numPr>
          <w:ilvl w:val="0"/>
          <w:numId w:val="2"/>
        </w:numPr>
        <w:tabs>
          <w:tab w:val="left" w:leader="none" w:pos="224"/>
        </w:tabs>
        <w:ind w:left="224" w:hanging="224"/>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Bij afwezigheid van de trainer door bijvoorbeeld ziekte, wordt de les altijd ingehaald.</w:t>
      </w:r>
    </w:p>
    <w:p w:rsidR="00000000" w:rsidDel="00000000" w:rsidP="00000000" w:rsidRDefault="00000000" w:rsidRPr="00000000" w14:paraId="0000000F">
      <w:pPr>
        <w:numPr>
          <w:ilvl w:val="0"/>
          <w:numId w:val="2"/>
        </w:numPr>
        <w:tabs>
          <w:tab w:val="left" w:leader="none" w:pos="220"/>
        </w:tabs>
        <w:ind w:left="4" w:right="286" w:hanging="4"/>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Bij uitval wegens slecht weer geldt dat de eerste les niet wordt ingehaald. De tweede les die uitvalt wegens slecht weer wordt wel ingehaald. Derde les wordt weer niet ingehaald en de vierde wel et cetera.</w:t>
      </w:r>
    </w:p>
    <w:p w:rsidR="00000000" w:rsidDel="00000000" w:rsidP="00000000" w:rsidRDefault="00000000" w:rsidRPr="00000000" w14:paraId="00000010">
      <w:pPr>
        <w:spacing w:line="25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4" w:firstLine="0"/>
        <w:rPr>
          <w:rFonts w:ascii="Cambria" w:cs="Cambria" w:eastAsia="Cambria" w:hAnsi="Cambria"/>
          <w:i w:val="1"/>
          <w:sz w:val="22"/>
          <w:szCs w:val="22"/>
        </w:rPr>
      </w:pPr>
      <w:r w:rsidDel="00000000" w:rsidR="00000000" w:rsidRPr="00000000">
        <w:rPr>
          <w:rFonts w:ascii="Cambria" w:cs="Cambria" w:eastAsia="Cambria" w:hAnsi="Cambria"/>
          <w:i w:val="1"/>
          <w:sz w:val="22"/>
          <w:szCs w:val="22"/>
          <w:rtl w:val="0"/>
        </w:rPr>
        <w:t xml:space="preserve">Invallen en afmelden</w:t>
      </w:r>
    </w:p>
    <w:p w:rsidR="00000000" w:rsidDel="00000000" w:rsidP="00000000" w:rsidRDefault="00000000" w:rsidRPr="00000000" w14:paraId="00000012">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3"/>
        </w:numPr>
        <w:tabs>
          <w:tab w:val="left" w:leader="none" w:pos="220"/>
        </w:tabs>
        <w:spacing w:line="239" w:lineRule="auto"/>
        <w:ind w:left="4" w:right="266" w:hanging="4"/>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Invallen in een groep is alleen toegestaan wanneer het een groep betreft van de eigen speelsterkte of een mindere speelsterkte. Wanneer dit niet het geval is mag de cursist worden geweigerd om in te vallen.</w:t>
      </w:r>
    </w:p>
    <w:p w:rsidR="00000000" w:rsidDel="00000000" w:rsidP="00000000" w:rsidRDefault="00000000" w:rsidRPr="00000000" w14:paraId="00000014">
      <w:pPr>
        <w:spacing w:line="14.399999999999999"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numPr>
          <w:ilvl w:val="0"/>
          <w:numId w:val="3"/>
        </w:numPr>
        <w:tabs>
          <w:tab w:val="left" w:leader="none" w:pos="342"/>
        </w:tabs>
        <w:spacing w:line="251" w:lineRule="auto"/>
        <w:ind w:left="4" w:right="86" w:hanging="4"/>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Invallen en afmelden voor een training geschiedt via het aan-/afmeldsysteem op de website. Het afmelden dient uiterlijk om 12.00 uur op de dag zelf gedaan te worden, maar wanneer de training om 13.00 of eerder aanvangt, moet dit de voorafgaande avond voor 21:00 gebeuren.</w:t>
      </w:r>
    </w:p>
    <w:p w:rsidR="00000000" w:rsidDel="00000000" w:rsidP="00000000" w:rsidRDefault="00000000" w:rsidRPr="00000000" w14:paraId="00000016">
      <w:pPr>
        <w:numPr>
          <w:ilvl w:val="0"/>
          <w:numId w:val="3"/>
        </w:numPr>
        <w:tabs>
          <w:tab w:val="left" w:leader="none" w:pos="342"/>
        </w:tabs>
        <w:spacing w:line="263.00000000000006" w:lineRule="auto"/>
        <w:ind w:left="4" w:right="186" w:hanging="4"/>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Indien men tweemaal zonder afmelden of te laat afmelden niet op de training verschijnt, behoudt de Tennis Commissie zich het recht om deelname aan de trainingen te ontzeggen.</w:t>
      </w:r>
    </w:p>
    <w:p w:rsidR="00000000" w:rsidDel="00000000" w:rsidP="00000000" w:rsidRDefault="00000000" w:rsidRPr="00000000" w14:paraId="00000017">
      <w:pPr>
        <w:spacing w:line="23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4" w:firstLine="0"/>
        <w:rPr>
          <w:rFonts w:ascii="Cambria" w:cs="Cambria" w:eastAsia="Cambria" w:hAnsi="Cambria"/>
          <w:i w:val="1"/>
          <w:sz w:val="22"/>
          <w:szCs w:val="22"/>
        </w:rPr>
      </w:pPr>
      <w:r w:rsidDel="00000000" w:rsidR="00000000" w:rsidRPr="00000000">
        <w:rPr>
          <w:rFonts w:ascii="Cambria" w:cs="Cambria" w:eastAsia="Cambria" w:hAnsi="Cambria"/>
          <w:i w:val="1"/>
          <w:sz w:val="22"/>
          <w:szCs w:val="22"/>
          <w:rtl w:val="0"/>
        </w:rPr>
        <w:t xml:space="preserve">Slotbepaling</w:t>
      </w:r>
    </w:p>
    <w:p w:rsidR="00000000" w:rsidDel="00000000" w:rsidP="00000000" w:rsidRDefault="00000000" w:rsidRPr="00000000" w14:paraId="00000019">
      <w:pPr>
        <w:ind w:left="4"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12. </w:t>
        <w:tab/>
        <w:t xml:space="preserve">In ieder geval waarin dit reglement niet voorziet, beslist het bestuur van TC de Uithof.</w:t>
      </w:r>
    </w:p>
    <w:p w:rsidR="00000000" w:rsidDel="00000000" w:rsidP="00000000" w:rsidRDefault="00000000" w:rsidRPr="00000000" w14:paraId="0000001A">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06.9999999999999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4"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TC de Uithof</w:t>
      </w:r>
    </w:p>
    <w:p w:rsidR="00000000" w:rsidDel="00000000" w:rsidP="00000000" w:rsidRDefault="00000000" w:rsidRPr="00000000" w14:paraId="0000001D">
      <w:pPr>
        <w:ind w:left="4"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Tennis Commissie</w:t>
      </w:r>
    </w:p>
    <w:p w:rsidR="00000000" w:rsidDel="00000000" w:rsidP="00000000" w:rsidRDefault="00000000" w:rsidRPr="00000000" w14:paraId="0000001E">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4"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o.d.z. ‘</w:t>
      </w:r>
      <w:r w:rsidDel="00000000" w:rsidR="00000000" w:rsidRPr="00000000">
        <w:rPr>
          <w:rFonts w:ascii="Cambria" w:cs="Cambria" w:eastAsia="Cambria" w:hAnsi="Cambria"/>
          <w:i w:val="1"/>
          <w:sz w:val="22"/>
          <w:szCs w:val="22"/>
          <w:rtl w:val="0"/>
        </w:rPr>
        <w:t xml:space="preserve">Champions train, losers complain’</w:t>
      </w:r>
      <w:r w:rsidDel="00000000" w:rsidR="00000000" w:rsidRPr="00000000">
        <w:rPr>
          <w:rtl w:val="0"/>
        </w:rPr>
      </w:r>
    </w:p>
    <w:sectPr>
      <w:headerReference r:id="rId7" w:type="default"/>
      <w:pgSz w:h="16838" w:w="11900" w:orient="portrait"/>
      <w:pgMar w:bottom="1440" w:top="1414" w:left="1416" w:right="144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w:t>
    </w:r>
    <w:r w:rsidDel="00000000" w:rsidR="00000000" w:rsidRPr="00000000">
      <w:rPr>
        <w:rFonts w:ascii="Cambria" w:cs="Cambria" w:eastAsia="Cambria" w:hAnsi="Cambria"/>
        <w:rtl w:val="0"/>
      </w:rPr>
      <w:t xml:space="preserve">ENNIS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COMMISSIE TC DE UITHOF</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7"/>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9"/>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unhideWhenUsed w:val="1"/>
    <w:rsid w:val="005A086C"/>
    <w:pPr>
      <w:tabs>
        <w:tab w:val="center" w:pos="4536"/>
        <w:tab w:val="right" w:pos="9072"/>
      </w:tabs>
    </w:pPr>
  </w:style>
  <w:style w:type="character" w:styleId="KoptekstChar" w:customStyle="1">
    <w:name w:val="Koptekst Char"/>
    <w:basedOn w:val="Standaardalinea-lettertype"/>
    <w:link w:val="Koptekst"/>
    <w:uiPriority w:val="99"/>
    <w:rsid w:val="005A086C"/>
  </w:style>
  <w:style w:type="paragraph" w:styleId="Voettekst">
    <w:name w:val="footer"/>
    <w:basedOn w:val="Standaard"/>
    <w:link w:val="VoettekstChar"/>
    <w:uiPriority w:val="99"/>
    <w:unhideWhenUsed w:val="1"/>
    <w:rsid w:val="005A086C"/>
    <w:pPr>
      <w:tabs>
        <w:tab w:val="center" w:pos="4536"/>
        <w:tab w:val="right" w:pos="9072"/>
      </w:tabs>
    </w:pPr>
  </w:style>
  <w:style w:type="character" w:styleId="VoettekstChar" w:customStyle="1">
    <w:name w:val="Voettekst Char"/>
    <w:basedOn w:val="Standaardalinea-lettertype"/>
    <w:link w:val="Voettekst"/>
    <w:uiPriority w:val="99"/>
    <w:rsid w:val="005A086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MpiUbsCDprRc+Wr790Q1UtSRw==">CgMxLjAyCWlkLmdqZGd4czIJaC4zMGowemxsOAByITFvNzJfU3ZnZGwtOS1FLWdfMWVzUWpZTVNVamRiaEUwUw==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2018-04-17T18:41:00Z</dcterms:created>
  <dc:creator>Bram Bijlemeer</dc:creator>
</cp:coreProperties>
</file>