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D547" w14:textId="77777777" w:rsidR="00AB4DB2" w:rsidRPr="00D35BD3" w:rsidRDefault="00AB4DB2" w:rsidP="00AB4DB2">
      <w:pPr>
        <w:jc w:val="center"/>
        <w:rPr>
          <w:rFonts w:ascii="Century Gothic" w:hAnsi="Century Gothic"/>
          <w:szCs w:val="24"/>
        </w:rPr>
      </w:pPr>
    </w:p>
    <w:p w14:paraId="540E00CC" w14:textId="62A90F29" w:rsidR="00AB4DB2" w:rsidRPr="00D35BD3" w:rsidRDefault="00AB4DB2" w:rsidP="00AB4DB2">
      <w:pPr>
        <w:jc w:val="center"/>
        <w:rPr>
          <w:rFonts w:ascii="Century Gothic" w:hAnsi="Century Gothic"/>
          <w:szCs w:val="24"/>
        </w:rPr>
      </w:pPr>
    </w:p>
    <w:p w14:paraId="384183A0" w14:textId="77777777" w:rsidR="00AB4DB2" w:rsidRPr="00D35BD3" w:rsidRDefault="00AB4DB2" w:rsidP="00AB4DB2">
      <w:pPr>
        <w:jc w:val="center"/>
        <w:rPr>
          <w:rFonts w:ascii="Century Gothic" w:hAnsi="Century Gothic"/>
          <w:szCs w:val="24"/>
        </w:rPr>
      </w:pPr>
    </w:p>
    <w:p w14:paraId="44637215" w14:textId="79F49EA2" w:rsidR="00AB4DB2" w:rsidRDefault="00691AB5" w:rsidP="00AB4DB2">
      <w:pPr>
        <w:jc w:val="center"/>
        <w:rPr>
          <w:rFonts w:ascii="Century Gothic" w:hAnsi="Century Gothic"/>
          <w:szCs w:val="24"/>
        </w:rPr>
      </w:pPr>
      <w:r>
        <w:rPr>
          <w:rFonts w:ascii="Century Gothic" w:hAnsi="Century Gothic"/>
          <w:szCs w:val="24"/>
        </w:rPr>
        <w:pict w14:anchorId="1FE3F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4pt;height:273.75pt">
            <v:imagedata r:id="rId6" o:title=""/>
          </v:shape>
        </w:pict>
      </w:r>
    </w:p>
    <w:p w14:paraId="361C6B1E" w14:textId="77777777" w:rsidR="00AB4DB2" w:rsidRDefault="00AB4DB2" w:rsidP="00AB4DB2">
      <w:pPr>
        <w:jc w:val="center"/>
        <w:rPr>
          <w:rFonts w:ascii="Century Gothic" w:hAnsi="Century Gothic"/>
          <w:szCs w:val="24"/>
        </w:rPr>
      </w:pPr>
    </w:p>
    <w:p w14:paraId="7B462F6B" w14:textId="77777777" w:rsidR="00AB4DB2" w:rsidRDefault="00AB4DB2" w:rsidP="00AB4DB2">
      <w:pPr>
        <w:jc w:val="center"/>
        <w:rPr>
          <w:rFonts w:ascii="Century Gothic" w:hAnsi="Century Gothic"/>
          <w:szCs w:val="24"/>
        </w:rPr>
      </w:pPr>
    </w:p>
    <w:p w14:paraId="4E960DB0" w14:textId="77777777" w:rsidR="00AB4DB2" w:rsidRDefault="00AB4DB2" w:rsidP="00AB4DB2">
      <w:pPr>
        <w:jc w:val="center"/>
        <w:rPr>
          <w:rFonts w:ascii="Century Gothic" w:hAnsi="Century Gothic"/>
          <w:szCs w:val="24"/>
        </w:rPr>
      </w:pPr>
    </w:p>
    <w:p w14:paraId="6D97EF7A" w14:textId="77777777" w:rsidR="00AB4DB2" w:rsidRDefault="00AB4DB2" w:rsidP="00AB4DB2">
      <w:pPr>
        <w:jc w:val="center"/>
        <w:rPr>
          <w:rFonts w:ascii="Century Gothic" w:hAnsi="Century Gothic"/>
          <w:szCs w:val="24"/>
        </w:rPr>
      </w:pPr>
    </w:p>
    <w:p w14:paraId="78CB13A7" w14:textId="77777777" w:rsidR="00AB4DB2" w:rsidRDefault="00AB4DB2" w:rsidP="00AB4DB2">
      <w:pPr>
        <w:jc w:val="center"/>
        <w:rPr>
          <w:rFonts w:ascii="Century Gothic" w:hAnsi="Century Gothic"/>
          <w:szCs w:val="24"/>
        </w:rPr>
      </w:pPr>
    </w:p>
    <w:p w14:paraId="21BDE315" w14:textId="77777777" w:rsidR="00AB4DB2" w:rsidRPr="00D35BD3" w:rsidRDefault="00AB4DB2" w:rsidP="00AB4DB2">
      <w:pPr>
        <w:jc w:val="center"/>
        <w:rPr>
          <w:rFonts w:ascii="Century Gothic" w:hAnsi="Century Gothic"/>
          <w:szCs w:val="24"/>
        </w:rPr>
      </w:pPr>
    </w:p>
    <w:p w14:paraId="092E1C26" w14:textId="77777777" w:rsidR="00046505" w:rsidRDefault="00046505" w:rsidP="00AB4DB2">
      <w:pPr>
        <w:jc w:val="center"/>
        <w:rPr>
          <w:rFonts w:cs="Arial"/>
          <w:b/>
          <w:bCs w:val="0"/>
          <w:sz w:val="44"/>
          <w:szCs w:val="44"/>
        </w:rPr>
      </w:pPr>
    </w:p>
    <w:p w14:paraId="0CBD6863" w14:textId="52CCAABA" w:rsidR="00AB4DB2" w:rsidRPr="00A426DD" w:rsidRDefault="00691AB5" w:rsidP="00AB4DB2">
      <w:pPr>
        <w:jc w:val="center"/>
        <w:rPr>
          <w:rFonts w:cs="Arial"/>
          <w:b/>
          <w:bCs w:val="0"/>
          <w:sz w:val="44"/>
          <w:szCs w:val="44"/>
        </w:rPr>
      </w:pPr>
      <w:r>
        <w:rPr>
          <w:rFonts w:cs="Arial"/>
          <w:b/>
          <w:bCs w:val="0"/>
          <w:sz w:val="44"/>
          <w:szCs w:val="44"/>
        </w:rPr>
        <w:t>Sohbet Society</w:t>
      </w:r>
    </w:p>
    <w:p w14:paraId="595A4394" w14:textId="77777777" w:rsidR="00AB4DB2" w:rsidRPr="00A426DD" w:rsidRDefault="00AB4DB2" w:rsidP="00AB4DB2">
      <w:pPr>
        <w:jc w:val="center"/>
        <w:rPr>
          <w:rFonts w:cs="Arial"/>
          <w:b/>
          <w:bCs w:val="0"/>
          <w:sz w:val="52"/>
          <w:szCs w:val="52"/>
        </w:rPr>
      </w:pPr>
      <w:r w:rsidRPr="00A426DD">
        <w:rPr>
          <w:rFonts w:cs="Arial"/>
          <w:b/>
          <w:sz w:val="52"/>
          <w:szCs w:val="52"/>
        </w:rPr>
        <w:t>Reserves Policy</w:t>
      </w:r>
    </w:p>
    <w:p w14:paraId="76DF65A5" w14:textId="77777777" w:rsidR="00AB4DB2" w:rsidRPr="00A426DD" w:rsidRDefault="00AB4DB2" w:rsidP="00AB4DB2">
      <w:pPr>
        <w:rPr>
          <w:rFonts w:cs="Arial"/>
          <w:szCs w:val="24"/>
        </w:rPr>
      </w:pPr>
    </w:p>
    <w:p w14:paraId="734B65D2" w14:textId="77777777" w:rsidR="00AB4DB2" w:rsidRPr="00A426DD" w:rsidRDefault="00AB4DB2" w:rsidP="00AB4DB2">
      <w:pPr>
        <w:jc w:val="center"/>
        <w:rPr>
          <w:rFonts w:cs="Arial"/>
          <w:szCs w:val="24"/>
        </w:rPr>
      </w:pPr>
    </w:p>
    <w:p w14:paraId="2E8E254C" w14:textId="77777777" w:rsidR="00AB4DB2" w:rsidRPr="00A426DD" w:rsidRDefault="00AB4DB2" w:rsidP="00AB4DB2">
      <w:pPr>
        <w:jc w:val="center"/>
        <w:rPr>
          <w:rFonts w:cs="Arial"/>
          <w:szCs w:val="24"/>
        </w:rPr>
      </w:pPr>
    </w:p>
    <w:p w14:paraId="1E399FC4" w14:textId="77777777" w:rsidR="00AB4DB2" w:rsidRPr="00A426DD" w:rsidRDefault="00AB4DB2" w:rsidP="00AB4DB2">
      <w:pPr>
        <w:rPr>
          <w:rFonts w:cs="Arial"/>
          <w:szCs w:val="24"/>
        </w:rPr>
      </w:pPr>
    </w:p>
    <w:p w14:paraId="23B2DCCD" w14:textId="77777777" w:rsidR="00AB4DB2" w:rsidRPr="00A426DD" w:rsidRDefault="00AB4DB2" w:rsidP="00AB4DB2">
      <w:pPr>
        <w:jc w:val="center"/>
        <w:rPr>
          <w:rFonts w:cs="Arial"/>
          <w:szCs w:val="24"/>
        </w:rPr>
      </w:pPr>
    </w:p>
    <w:p w14:paraId="1FCD5999" w14:textId="77777777" w:rsidR="00AB4DB2" w:rsidRPr="00A426DD" w:rsidRDefault="00AB4DB2" w:rsidP="00AB4DB2">
      <w:pPr>
        <w:jc w:val="center"/>
        <w:rPr>
          <w:rFonts w:cs="Arial"/>
          <w:szCs w:val="24"/>
        </w:rPr>
      </w:pPr>
    </w:p>
    <w:p w14:paraId="23F3141B" w14:textId="77777777" w:rsidR="00AB4DB2" w:rsidRPr="00A426DD" w:rsidRDefault="00AB4DB2" w:rsidP="00AB4DB2">
      <w:pPr>
        <w:jc w:val="center"/>
        <w:rPr>
          <w:rFonts w:cs="Arial"/>
          <w:szCs w:val="24"/>
        </w:rPr>
      </w:pPr>
    </w:p>
    <w:p w14:paraId="3F571B43" w14:textId="77777777" w:rsidR="00AB4DB2" w:rsidRPr="00A426DD" w:rsidRDefault="00AB4DB2" w:rsidP="00AB4DB2">
      <w:pPr>
        <w:jc w:val="center"/>
        <w:rPr>
          <w:rFonts w:cs="Arial"/>
          <w:szCs w:val="24"/>
        </w:rPr>
      </w:pPr>
    </w:p>
    <w:p w14:paraId="0BBDAFD0" w14:textId="77777777" w:rsidR="00AB4DB2" w:rsidRPr="00A426DD" w:rsidRDefault="00AB4DB2" w:rsidP="00AB4DB2">
      <w:pPr>
        <w:jc w:val="center"/>
        <w:rPr>
          <w:rFonts w:cs="Arial"/>
          <w:szCs w:val="24"/>
        </w:rPr>
      </w:pPr>
    </w:p>
    <w:p w14:paraId="070E6335" w14:textId="77777777" w:rsidR="00AB4DB2" w:rsidRPr="00A426DD" w:rsidRDefault="00AB4DB2" w:rsidP="00AB4DB2">
      <w:pPr>
        <w:jc w:val="center"/>
        <w:rPr>
          <w:rFonts w:cs="Arial"/>
          <w:szCs w:val="24"/>
        </w:rPr>
      </w:pPr>
    </w:p>
    <w:p w14:paraId="4E0094E9" w14:textId="77777777" w:rsidR="00AB4DB2" w:rsidRPr="00A426DD" w:rsidRDefault="00AB4DB2" w:rsidP="00AB4DB2">
      <w:pPr>
        <w:jc w:val="center"/>
        <w:rPr>
          <w:rFonts w:cs="Arial"/>
          <w:szCs w:val="24"/>
        </w:rPr>
      </w:pPr>
    </w:p>
    <w:p w14:paraId="075D9261" w14:textId="77777777" w:rsidR="00AB4DB2" w:rsidRPr="00A426DD" w:rsidRDefault="00AB4DB2" w:rsidP="00AB4DB2">
      <w:pPr>
        <w:jc w:val="center"/>
        <w:rPr>
          <w:rFonts w:cs="Arial"/>
          <w:szCs w:val="24"/>
        </w:rPr>
      </w:pPr>
    </w:p>
    <w:p w14:paraId="2BC53DA6" w14:textId="77777777" w:rsidR="00AB4DB2" w:rsidRPr="00A426DD" w:rsidRDefault="00AB4DB2" w:rsidP="00AB4DB2">
      <w:pPr>
        <w:jc w:val="center"/>
        <w:rPr>
          <w:rFonts w:cs="Arial"/>
          <w:szCs w:val="24"/>
        </w:rPr>
      </w:pPr>
    </w:p>
    <w:p w14:paraId="48DADBCD" w14:textId="77777777" w:rsidR="00AB4DB2" w:rsidRPr="00A426DD" w:rsidRDefault="00AB4DB2" w:rsidP="00AB4DB2">
      <w:pPr>
        <w:jc w:val="center"/>
        <w:rPr>
          <w:rFonts w:cs="Arial"/>
          <w:szCs w:val="24"/>
        </w:rPr>
      </w:pPr>
    </w:p>
    <w:p w14:paraId="0F2F20CA" w14:textId="77777777" w:rsidR="00AB4DB2" w:rsidRPr="00A426DD" w:rsidRDefault="00AB4DB2" w:rsidP="00AB4DB2">
      <w:pPr>
        <w:jc w:val="center"/>
        <w:rPr>
          <w:rFonts w:cs="Arial"/>
          <w:szCs w:val="24"/>
        </w:rPr>
      </w:pPr>
    </w:p>
    <w:p w14:paraId="1E09ACA4" w14:textId="77777777" w:rsidR="00AB4DB2" w:rsidRPr="00A426DD" w:rsidRDefault="00AB4DB2" w:rsidP="00AB4DB2">
      <w:pPr>
        <w:jc w:val="center"/>
        <w:rPr>
          <w:rFonts w:cs="Arial"/>
          <w:szCs w:val="24"/>
        </w:rPr>
      </w:pPr>
    </w:p>
    <w:p w14:paraId="7430DF73" w14:textId="77777777" w:rsidR="00AB4DB2" w:rsidRPr="00A426DD" w:rsidRDefault="00AB4DB2" w:rsidP="00AB4DB2">
      <w:pPr>
        <w:jc w:val="center"/>
        <w:rPr>
          <w:rFonts w:cs="Arial"/>
          <w:szCs w:val="24"/>
        </w:rPr>
      </w:pPr>
    </w:p>
    <w:p w14:paraId="11F930BF" w14:textId="77777777" w:rsidR="00AB4DB2" w:rsidRPr="00A426DD" w:rsidRDefault="00AB4DB2" w:rsidP="00AB4DB2">
      <w:pPr>
        <w:jc w:val="center"/>
        <w:rPr>
          <w:rFonts w:cs="Arial"/>
          <w:szCs w:val="24"/>
        </w:rPr>
      </w:pPr>
    </w:p>
    <w:p w14:paraId="1FCFCD81" w14:textId="77777777" w:rsidR="00AB4DB2" w:rsidRPr="00A426DD" w:rsidRDefault="00AB4DB2" w:rsidP="00AB4DB2">
      <w:pPr>
        <w:jc w:val="center"/>
        <w:rPr>
          <w:rFonts w:cs="Arial"/>
          <w:szCs w:val="24"/>
        </w:rPr>
      </w:pPr>
    </w:p>
    <w:p w14:paraId="020B9799" w14:textId="77777777" w:rsidR="00AB4DB2" w:rsidRPr="00A426DD" w:rsidRDefault="00AB4DB2" w:rsidP="00AB4DB2">
      <w:pPr>
        <w:jc w:val="center"/>
        <w:rPr>
          <w:rFonts w:cs="Arial"/>
          <w:szCs w:val="24"/>
        </w:rPr>
      </w:pPr>
    </w:p>
    <w:p w14:paraId="11C371DF" w14:textId="77777777" w:rsidR="00AB4DB2" w:rsidRPr="00A426DD" w:rsidRDefault="00AB4DB2" w:rsidP="00AB4DB2">
      <w:pPr>
        <w:jc w:val="center"/>
        <w:rPr>
          <w:rFonts w:cs="Arial"/>
          <w:szCs w:val="24"/>
        </w:rPr>
      </w:pPr>
    </w:p>
    <w:p w14:paraId="11F42EB7" w14:textId="75ED642F" w:rsidR="00AB4DB2" w:rsidRPr="00A426DD" w:rsidRDefault="00AB4DB2" w:rsidP="00AB4DB2">
      <w:pPr>
        <w:jc w:val="center"/>
        <w:rPr>
          <w:rFonts w:cs="Arial"/>
          <w:szCs w:val="24"/>
        </w:rPr>
      </w:pPr>
      <w:r w:rsidRPr="00A426DD">
        <w:rPr>
          <w:rFonts w:cs="Arial"/>
          <w:szCs w:val="24"/>
        </w:rPr>
        <w:t xml:space="preserve">This policy will be reviewed on an ongoing basis, at least once a year. </w:t>
      </w:r>
      <w:r w:rsidR="00691AB5">
        <w:rPr>
          <w:rFonts w:cs="Arial"/>
          <w:szCs w:val="24"/>
        </w:rPr>
        <w:t>Sohbet Society</w:t>
      </w:r>
      <w:r w:rsidRPr="00A426DD">
        <w:rPr>
          <w:rFonts w:cs="Arial"/>
          <w:szCs w:val="24"/>
        </w:rPr>
        <w:t xml:space="preserve"> will amend this policy, following consultation, where appropriate.</w:t>
      </w:r>
    </w:p>
    <w:p w14:paraId="1F2F3C9E" w14:textId="77777777" w:rsidR="00B75CDB" w:rsidRPr="00A426DD" w:rsidRDefault="00B75CDB" w:rsidP="005B5571">
      <w:pPr>
        <w:rPr>
          <w:rFonts w:cs="Arial"/>
          <w:color w:val="000000"/>
        </w:rPr>
      </w:pPr>
    </w:p>
    <w:p w14:paraId="72353231" w14:textId="77777777" w:rsidR="00AB4DB2" w:rsidRPr="00A426DD" w:rsidRDefault="00AB4DB2" w:rsidP="005B5571">
      <w:pPr>
        <w:rPr>
          <w:rFonts w:cs="Arial"/>
          <w:color w:val="000000"/>
        </w:rPr>
      </w:pPr>
    </w:p>
    <w:p w14:paraId="7DD375DC" w14:textId="77777777" w:rsidR="005B5571" w:rsidRPr="00A426DD" w:rsidRDefault="005B5571" w:rsidP="005B5571">
      <w:pPr>
        <w:rPr>
          <w:rFonts w:cs="Arial"/>
          <w:color w:val="000000"/>
        </w:rPr>
      </w:pPr>
    </w:p>
    <w:p w14:paraId="345D8710" w14:textId="77777777" w:rsidR="005B5571" w:rsidRPr="00A426DD" w:rsidRDefault="005B5571" w:rsidP="005B5571">
      <w:pPr>
        <w:rPr>
          <w:rFonts w:cs="Arial"/>
          <w:color w:val="000000"/>
        </w:rPr>
      </w:pPr>
    </w:p>
    <w:p w14:paraId="34922D40" w14:textId="77777777" w:rsidR="00380349" w:rsidRDefault="00380349" w:rsidP="005B5571">
      <w:pPr>
        <w:rPr>
          <w:rFonts w:cs="Arial"/>
          <w:color w:val="000000"/>
          <w:sz w:val="22"/>
          <w:szCs w:val="22"/>
        </w:rPr>
      </w:pPr>
    </w:p>
    <w:p w14:paraId="07F97433" w14:textId="77777777" w:rsidR="00380349" w:rsidRDefault="00380349" w:rsidP="005B5571">
      <w:pPr>
        <w:rPr>
          <w:rFonts w:cs="Arial"/>
          <w:color w:val="000000"/>
          <w:sz w:val="22"/>
          <w:szCs w:val="22"/>
        </w:rPr>
      </w:pPr>
    </w:p>
    <w:p w14:paraId="71F24DA9" w14:textId="77777777" w:rsidR="00380349" w:rsidRDefault="00380349" w:rsidP="005B5571">
      <w:pPr>
        <w:rPr>
          <w:rFonts w:cs="Arial"/>
          <w:color w:val="000000"/>
          <w:sz w:val="22"/>
          <w:szCs w:val="22"/>
        </w:rPr>
      </w:pPr>
    </w:p>
    <w:p w14:paraId="720CA2D8" w14:textId="77777777" w:rsidR="00380349" w:rsidRDefault="00380349" w:rsidP="005B5571">
      <w:pPr>
        <w:rPr>
          <w:rFonts w:cs="Arial"/>
          <w:color w:val="000000"/>
          <w:sz w:val="22"/>
          <w:szCs w:val="22"/>
        </w:rPr>
      </w:pPr>
    </w:p>
    <w:p w14:paraId="74C76878" w14:textId="77777777" w:rsidR="00380349" w:rsidRDefault="00380349" w:rsidP="005B5571">
      <w:pPr>
        <w:rPr>
          <w:rFonts w:cs="Arial"/>
          <w:color w:val="000000"/>
          <w:sz w:val="22"/>
          <w:szCs w:val="22"/>
        </w:rPr>
      </w:pPr>
    </w:p>
    <w:p w14:paraId="0D71ED2B" w14:textId="77777777" w:rsidR="00380349" w:rsidRDefault="00380349" w:rsidP="005B5571">
      <w:pPr>
        <w:rPr>
          <w:rFonts w:cs="Arial"/>
          <w:color w:val="000000"/>
          <w:sz w:val="22"/>
          <w:szCs w:val="22"/>
        </w:rPr>
      </w:pPr>
    </w:p>
    <w:p w14:paraId="4B84DDCB" w14:textId="77777777" w:rsidR="00380349" w:rsidRDefault="00380349" w:rsidP="005B5571">
      <w:pPr>
        <w:rPr>
          <w:rFonts w:cs="Arial"/>
          <w:color w:val="000000"/>
          <w:sz w:val="22"/>
          <w:szCs w:val="22"/>
        </w:rPr>
      </w:pPr>
    </w:p>
    <w:p w14:paraId="03133A52" w14:textId="586C3D9F" w:rsidR="00BD4929" w:rsidRPr="00A426DD" w:rsidRDefault="00BD4929" w:rsidP="005B5571">
      <w:pPr>
        <w:rPr>
          <w:rFonts w:cs="Arial"/>
          <w:color w:val="000000"/>
          <w:sz w:val="22"/>
          <w:szCs w:val="22"/>
        </w:rPr>
      </w:pPr>
      <w:r w:rsidRPr="00A426DD">
        <w:rPr>
          <w:rFonts w:cs="Arial"/>
          <w:color w:val="000000"/>
          <w:sz w:val="22"/>
          <w:szCs w:val="22"/>
        </w:rPr>
        <w:t xml:space="preserve">It is the policy of the charity to maintain free reserves at a level which balances our objectives to develop and support services with our need to remain financially stable.  </w:t>
      </w:r>
    </w:p>
    <w:p w14:paraId="13B11689" w14:textId="77777777" w:rsidR="00BD4929" w:rsidRPr="00A426DD" w:rsidRDefault="00BD4929" w:rsidP="005B5571">
      <w:pPr>
        <w:rPr>
          <w:rFonts w:cs="Arial"/>
          <w:color w:val="000000"/>
          <w:sz w:val="22"/>
          <w:szCs w:val="22"/>
        </w:rPr>
      </w:pPr>
    </w:p>
    <w:p w14:paraId="0BBA48D6" w14:textId="77777777" w:rsidR="00BD4929" w:rsidRPr="00A426DD" w:rsidRDefault="00BD4929" w:rsidP="005B5571">
      <w:pPr>
        <w:rPr>
          <w:rFonts w:cs="Arial"/>
          <w:color w:val="000000"/>
          <w:sz w:val="22"/>
          <w:szCs w:val="22"/>
        </w:rPr>
      </w:pPr>
      <w:r w:rsidRPr="00A426DD">
        <w:rPr>
          <w:rFonts w:cs="Arial"/>
          <w:color w:val="000000"/>
          <w:sz w:val="22"/>
          <w:szCs w:val="22"/>
        </w:rPr>
        <w:t>A minimum level of free reserves equating to at least four (4) months of unrestricted expenditure is considered sufficient to cover management, administration and support costs and to respond to emergency needs which arise from time to time.</w:t>
      </w:r>
    </w:p>
    <w:p w14:paraId="0488F3AA" w14:textId="77777777" w:rsidR="00BD4929" w:rsidRPr="00A426DD" w:rsidRDefault="00BD4929" w:rsidP="005B5571">
      <w:pPr>
        <w:rPr>
          <w:rFonts w:cs="Arial"/>
          <w:color w:val="000000"/>
          <w:sz w:val="22"/>
          <w:szCs w:val="22"/>
        </w:rPr>
      </w:pPr>
    </w:p>
    <w:p w14:paraId="14F883E6" w14:textId="77777777" w:rsidR="00BD4929" w:rsidRPr="00A426DD" w:rsidRDefault="00BD4929" w:rsidP="005B5571">
      <w:pPr>
        <w:rPr>
          <w:rFonts w:cs="Arial"/>
          <w:color w:val="000000"/>
          <w:sz w:val="22"/>
          <w:szCs w:val="22"/>
        </w:rPr>
      </w:pPr>
      <w:r w:rsidRPr="00A426DD">
        <w:rPr>
          <w:rFonts w:cs="Arial"/>
          <w:color w:val="000000"/>
          <w:sz w:val="22"/>
          <w:szCs w:val="22"/>
        </w:rPr>
        <w:t xml:space="preserve">In </w:t>
      </w:r>
      <w:r w:rsidR="00AB4DB2" w:rsidRPr="00A426DD">
        <w:rPr>
          <w:rFonts w:cs="Arial"/>
          <w:color w:val="000000"/>
          <w:sz w:val="22"/>
          <w:szCs w:val="22"/>
        </w:rPr>
        <w:t>addition,</w:t>
      </w:r>
      <w:r w:rsidRPr="00A426DD">
        <w:rPr>
          <w:rFonts w:cs="Arial"/>
          <w:color w:val="000000"/>
          <w:sz w:val="22"/>
          <w:szCs w:val="22"/>
        </w:rPr>
        <w:t xml:space="preserve"> there is also a need to designate certain sums from free reserves for anticipated expenditure in the short to medium term.</w:t>
      </w:r>
    </w:p>
    <w:p w14:paraId="1CE8B871" w14:textId="77777777" w:rsidR="00BD4929" w:rsidRPr="00A426DD" w:rsidRDefault="00BD4929" w:rsidP="005B5571">
      <w:pPr>
        <w:rPr>
          <w:rFonts w:cs="Arial"/>
          <w:color w:val="000000"/>
          <w:sz w:val="22"/>
          <w:szCs w:val="22"/>
        </w:rPr>
      </w:pPr>
    </w:p>
    <w:p w14:paraId="26F88F22" w14:textId="77777777" w:rsidR="00BD4929" w:rsidRPr="00A426DD" w:rsidRDefault="00BD4929" w:rsidP="005B5571">
      <w:pPr>
        <w:rPr>
          <w:rFonts w:cs="Arial"/>
          <w:color w:val="000000"/>
          <w:sz w:val="22"/>
          <w:szCs w:val="22"/>
        </w:rPr>
      </w:pPr>
      <w:r w:rsidRPr="00A426DD">
        <w:rPr>
          <w:rFonts w:cs="Arial"/>
          <w:color w:val="000000"/>
          <w:sz w:val="22"/>
          <w:szCs w:val="22"/>
        </w:rPr>
        <w:t>This would generally be for capital expenditure and will be specified in the notes to the annual accounts.</w:t>
      </w:r>
    </w:p>
    <w:p w14:paraId="2897DB27" w14:textId="77777777" w:rsidR="00BD4929" w:rsidRPr="00A426DD" w:rsidRDefault="00BD4929" w:rsidP="005B5571">
      <w:pPr>
        <w:rPr>
          <w:rFonts w:cs="Arial"/>
          <w:color w:val="000000"/>
          <w:sz w:val="22"/>
          <w:szCs w:val="22"/>
        </w:rPr>
      </w:pPr>
    </w:p>
    <w:p w14:paraId="64BF2BCD" w14:textId="77777777" w:rsidR="00BD4929" w:rsidRPr="00A426DD" w:rsidRDefault="00BD4929" w:rsidP="005B5571">
      <w:pPr>
        <w:rPr>
          <w:rFonts w:cs="Arial"/>
          <w:color w:val="000000"/>
          <w:sz w:val="22"/>
          <w:szCs w:val="22"/>
        </w:rPr>
      </w:pPr>
      <w:r w:rsidRPr="00A426DD">
        <w:rPr>
          <w:rFonts w:cs="Arial"/>
          <w:color w:val="000000"/>
          <w:sz w:val="22"/>
          <w:szCs w:val="22"/>
        </w:rPr>
        <w:t>It is anticipated that total free reserves, including designated funds, would be maintained at a level of six (6) months of unrestricted expenditure.</w:t>
      </w:r>
    </w:p>
    <w:p w14:paraId="15004000" w14:textId="77777777" w:rsidR="00BD4929" w:rsidRPr="00A426DD" w:rsidRDefault="00BD4929" w:rsidP="005B5571">
      <w:pPr>
        <w:rPr>
          <w:rFonts w:cs="Arial"/>
          <w:sz w:val="22"/>
          <w:szCs w:val="22"/>
        </w:rPr>
      </w:pPr>
    </w:p>
    <w:p w14:paraId="45A40263" w14:textId="77777777" w:rsidR="00BD4929" w:rsidRPr="00A426DD" w:rsidRDefault="00BD4929" w:rsidP="005B5571">
      <w:pPr>
        <w:rPr>
          <w:rFonts w:cs="Arial"/>
          <w:sz w:val="22"/>
          <w:szCs w:val="22"/>
        </w:rPr>
      </w:pPr>
    </w:p>
    <w:tbl>
      <w:tblPr>
        <w:tblW w:w="9464" w:type="dxa"/>
        <w:tblLayout w:type="fixed"/>
        <w:tblLook w:val="0000" w:firstRow="0" w:lastRow="0" w:firstColumn="0" w:lastColumn="0" w:noHBand="0" w:noVBand="0"/>
      </w:tblPr>
      <w:tblGrid>
        <w:gridCol w:w="9464"/>
      </w:tblGrid>
      <w:tr w:rsidR="00BD4929" w:rsidRPr="00A426DD" w14:paraId="511219E7" w14:textId="77777777">
        <w:tc>
          <w:tcPr>
            <w:tcW w:w="9464" w:type="dxa"/>
          </w:tcPr>
          <w:p w14:paraId="3FFC6742" w14:textId="77777777" w:rsidR="00BD4929" w:rsidRPr="00A426DD" w:rsidRDefault="00BD4929" w:rsidP="005B5571">
            <w:pPr>
              <w:pStyle w:val="Heading3"/>
              <w:rPr>
                <w:rFonts w:cs="Arial"/>
                <w:sz w:val="22"/>
                <w:szCs w:val="22"/>
                <w:u w:val="single"/>
              </w:rPr>
            </w:pPr>
            <w:r w:rsidRPr="00A426DD">
              <w:rPr>
                <w:rFonts w:cs="Arial"/>
                <w:sz w:val="22"/>
                <w:szCs w:val="22"/>
                <w:u w:val="single"/>
              </w:rPr>
              <w:t>Equality and Diversity</w:t>
            </w:r>
          </w:p>
        </w:tc>
      </w:tr>
      <w:tr w:rsidR="00BD4929" w:rsidRPr="00A426DD" w14:paraId="356B95BB" w14:textId="77777777" w:rsidTr="000E549D">
        <w:trPr>
          <w:trHeight w:val="1125"/>
        </w:trPr>
        <w:tc>
          <w:tcPr>
            <w:tcW w:w="9464" w:type="dxa"/>
          </w:tcPr>
          <w:p w14:paraId="3E78A555" w14:textId="77777777" w:rsidR="00BD4929" w:rsidRPr="00A426DD" w:rsidRDefault="000E549D" w:rsidP="005B5571">
            <w:pPr>
              <w:spacing w:after="200" w:line="276" w:lineRule="auto"/>
              <w:rPr>
                <w:rFonts w:cs="Arial"/>
                <w:sz w:val="22"/>
                <w:szCs w:val="22"/>
              </w:rPr>
            </w:pPr>
            <w:r w:rsidRPr="00A426DD">
              <w:rPr>
                <w:rFonts w:cs="Arial"/>
                <w:sz w:val="22"/>
                <w:szCs w:val="22"/>
              </w:rPr>
              <w:t xml:space="preserve">We aim to be an organisation that values, recognises and responds to the diverse needs of members and those we serve. We adhere to the Equality Act 2010 and will not discriminate against any person or other organisation with particular reference to the protected characteristics </w:t>
            </w:r>
          </w:p>
        </w:tc>
      </w:tr>
    </w:tbl>
    <w:p w14:paraId="7B5BF754" w14:textId="77777777" w:rsidR="00BD4929" w:rsidRPr="00A426DD" w:rsidRDefault="00BD4929" w:rsidP="005B5571">
      <w:pPr>
        <w:rPr>
          <w:rFonts w:cs="Arial"/>
          <w:sz w:val="22"/>
          <w:szCs w:val="22"/>
        </w:rPr>
      </w:pPr>
    </w:p>
    <w:tbl>
      <w:tblPr>
        <w:tblW w:w="9180" w:type="dxa"/>
        <w:tblLayout w:type="fixed"/>
        <w:tblLook w:val="0000" w:firstRow="0" w:lastRow="0" w:firstColumn="0" w:lastColumn="0" w:noHBand="0" w:noVBand="0"/>
      </w:tblPr>
      <w:tblGrid>
        <w:gridCol w:w="9180"/>
      </w:tblGrid>
      <w:tr w:rsidR="00BD4929" w:rsidRPr="00A426DD" w14:paraId="48B5381C" w14:textId="77777777">
        <w:tc>
          <w:tcPr>
            <w:tcW w:w="9180" w:type="dxa"/>
          </w:tcPr>
          <w:p w14:paraId="493750EA" w14:textId="77777777" w:rsidR="00BD4929" w:rsidRDefault="00BD4929" w:rsidP="005B5571">
            <w:pPr>
              <w:rPr>
                <w:rFonts w:cs="Arial"/>
                <w:b/>
                <w:sz w:val="22"/>
                <w:szCs w:val="22"/>
                <w:u w:val="single"/>
              </w:rPr>
            </w:pPr>
            <w:r w:rsidRPr="00A426DD">
              <w:rPr>
                <w:rFonts w:cs="Arial"/>
                <w:b/>
                <w:sz w:val="22"/>
                <w:szCs w:val="22"/>
                <w:u w:val="single"/>
              </w:rPr>
              <w:t>Monitoring and Review</w:t>
            </w:r>
          </w:p>
          <w:p w14:paraId="122C4DE6" w14:textId="0BBF694C" w:rsidR="00046505" w:rsidRPr="00A426DD" w:rsidRDefault="00046505" w:rsidP="005B5571">
            <w:pPr>
              <w:rPr>
                <w:rFonts w:cs="Arial"/>
                <w:b/>
                <w:sz w:val="22"/>
                <w:szCs w:val="22"/>
                <w:u w:val="single"/>
              </w:rPr>
            </w:pPr>
          </w:p>
        </w:tc>
      </w:tr>
    </w:tbl>
    <w:p w14:paraId="17C9F70A" w14:textId="77777777" w:rsidR="009E1B00" w:rsidRPr="009E1B00" w:rsidRDefault="009E1B00" w:rsidP="009E1B00">
      <w:pPr>
        <w:rPr>
          <w:vanish/>
        </w:rPr>
      </w:pP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5702"/>
      </w:tblGrid>
      <w:tr w:rsidR="00046505" w:rsidRPr="00046505" w14:paraId="705316D4" w14:textId="77777777" w:rsidTr="009E6A3D">
        <w:tc>
          <w:tcPr>
            <w:tcW w:w="3314" w:type="dxa"/>
          </w:tcPr>
          <w:p w14:paraId="4D42B9A2" w14:textId="77777777" w:rsidR="00046505" w:rsidRPr="00046505" w:rsidRDefault="00046505" w:rsidP="00046505">
            <w:pPr>
              <w:overflowPunct w:val="0"/>
              <w:autoSpaceDE w:val="0"/>
              <w:autoSpaceDN w:val="0"/>
              <w:adjustRightInd w:val="0"/>
              <w:textAlignment w:val="baseline"/>
              <w:rPr>
                <w:rFonts w:ascii="Calibri" w:hAnsi="Calibri" w:cs="Calibri"/>
                <w:bCs w:val="0"/>
                <w:color w:val="000000"/>
                <w:spacing w:val="-5"/>
                <w:sz w:val="22"/>
                <w:szCs w:val="22"/>
              </w:rPr>
            </w:pPr>
            <w:r w:rsidRPr="00046505">
              <w:rPr>
                <w:rFonts w:ascii="Calibri" w:hAnsi="Calibri" w:cs="Calibri"/>
                <w:bCs w:val="0"/>
                <w:color w:val="000000"/>
                <w:spacing w:val="-5"/>
                <w:sz w:val="22"/>
                <w:szCs w:val="22"/>
              </w:rPr>
              <w:t>Review Date</w:t>
            </w:r>
          </w:p>
        </w:tc>
        <w:tc>
          <w:tcPr>
            <w:tcW w:w="5702" w:type="dxa"/>
          </w:tcPr>
          <w:p w14:paraId="13D8697A" w14:textId="77777777" w:rsidR="00046505" w:rsidRPr="00046505" w:rsidRDefault="00046505" w:rsidP="00046505">
            <w:pPr>
              <w:overflowPunct w:val="0"/>
              <w:autoSpaceDE w:val="0"/>
              <w:autoSpaceDN w:val="0"/>
              <w:adjustRightInd w:val="0"/>
              <w:textAlignment w:val="baseline"/>
              <w:rPr>
                <w:rFonts w:ascii="Calibri" w:hAnsi="Calibri" w:cs="Calibri"/>
                <w:bCs w:val="0"/>
                <w:color w:val="000000"/>
                <w:spacing w:val="-5"/>
                <w:sz w:val="22"/>
                <w:szCs w:val="22"/>
              </w:rPr>
            </w:pPr>
            <w:r w:rsidRPr="00046505">
              <w:rPr>
                <w:rFonts w:ascii="Calibri" w:hAnsi="Calibri" w:cs="Calibri"/>
                <w:bCs w:val="0"/>
                <w:color w:val="000000"/>
                <w:spacing w:val="-5"/>
                <w:sz w:val="22"/>
                <w:szCs w:val="22"/>
              </w:rPr>
              <w:t>29/03/2021</w:t>
            </w:r>
          </w:p>
        </w:tc>
      </w:tr>
      <w:tr w:rsidR="00046505" w:rsidRPr="00046505" w14:paraId="5AED747C" w14:textId="77777777" w:rsidTr="009E6A3D">
        <w:tc>
          <w:tcPr>
            <w:tcW w:w="3314" w:type="dxa"/>
          </w:tcPr>
          <w:p w14:paraId="3E9FB4FB" w14:textId="77777777" w:rsidR="00046505" w:rsidRPr="00046505" w:rsidRDefault="00046505" w:rsidP="00046505">
            <w:pPr>
              <w:overflowPunct w:val="0"/>
              <w:autoSpaceDE w:val="0"/>
              <w:autoSpaceDN w:val="0"/>
              <w:adjustRightInd w:val="0"/>
              <w:textAlignment w:val="baseline"/>
              <w:rPr>
                <w:rFonts w:ascii="Calibri" w:hAnsi="Calibri" w:cs="Calibri"/>
                <w:bCs w:val="0"/>
                <w:color w:val="000000"/>
                <w:spacing w:val="-5"/>
                <w:sz w:val="22"/>
                <w:szCs w:val="22"/>
              </w:rPr>
            </w:pPr>
            <w:r w:rsidRPr="00046505">
              <w:rPr>
                <w:rFonts w:ascii="Calibri" w:hAnsi="Calibri" w:cs="Calibri"/>
                <w:bCs w:val="0"/>
                <w:color w:val="000000"/>
                <w:spacing w:val="-5"/>
                <w:sz w:val="22"/>
                <w:szCs w:val="22"/>
              </w:rPr>
              <w:t>Next Review Date</w:t>
            </w:r>
          </w:p>
        </w:tc>
        <w:tc>
          <w:tcPr>
            <w:tcW w:w="5702" w:type="dxa"/>
          </w:tcPr>
          <w:p w14:paraId="0FEEE5AA" w14:textId="77777777" w:rsidR="00046505" w:rsidRPr="00046505" w:rsidRDefault="00046505" w:rsidP="00046505">
            <w:pPr>
              <w:overflowPunct w:val="0"/>
              <w:autoSpaceDE w:val="0"/>
              <w:autoSpaceDN w:val="0"/>
              <w:adjustRightInd w:val="0"/>
              <w:textAlignment w:val="baseline"/>
              <w:rPr>
                <w:rFonts w:ascii="Calibri" w:hAnsi="Calibri" w:cs="Calibri"/>
                <w:bCs w:val="0"/>
                <w:color w:val="000000"/>
                <w:spacing w:val="-5"/>
                <w:sz w:val="22"/>
                <w:szCs w:val="22"/>
              </w:rPr>
            </w:pPr>
            <w:r w:rsidRPr="00046505">
              <w:rPr>
                <w:rFonts w:ascii="Calibri" w:hAnsi="Calibri" w:cs="Calibri"/>
                <w:bCs w:val="0"/>
                <w:color w:val="000000"/>
                <w:spacing w:val="-5"/>
                <w:sz w:val="22"/>
                <w:szCs w:val="22"/>
              </w:rPr>
              <w:t>29/03/2022</w:t>
            </w:r>
          </w:p>
        </w:tc>
      </w:tr>
      <w:tr w:rsidR="00046505" w:rsidRPr="00046505" w14:paraId="5D6BFEFE" w14:textId="77777777" w:rsidTr="009E6A3D">
        <w:tc>
          <w:tcPr>
            <w:tcW w:w="3314" w:type="dxa"/>
          </w:tcPr>
          <w:p w14:paraId="629AAF0F" w14:textId="77777777" w:rsidR="00046505" w:rsidRPr="00046505" w:rsidRDefault="00046505" w:rsidP="00046505">
            <w:pPr>
              <w:overflowPunct w:val="0"/>
              <w:autoSpaceDE w:val="0"/>
              <w:autoSpaceDN w:val="0"/>
              <w:adjustRightInd w:val="0"/>
              <w:textAlignment w:val="baseline"/>
              <w:rPr>
                <w:rFonts w:ascii="Calibri" w:hAnsi="Calibri" w:cs="Calibri"/>
                <w:bCs w:val="0"/>
                <w:color w:val="000000"/>
                <w:spacing w:val="-5"/>
                <w:sz w:val="22"/>
                <w:szCs w:val="22"/>
              </w:rPr>
            </w:pPr>
            <w:r w:rsidRPr="00046505">
              <w:rPr>
                <w:rFonts w:ascii="Calibri" w:hAnsi="Calibri" w:cs="Calibri"/>
                <w:bCs w:val="0"/>
                <w:color w:val="000000"/>
                <w:spacing w:val="-5"/>
                <w:sz w:val="22"/>
                <w:szCs w:val="22"/>
              </w:rPr>
              <w:t>Review Author</w:t>
            </w:r>
          </w:p>
        </w:tc>
        <w:tc>
          <w:tcPr>
            <w:tcW w:w="5702" w:type="dxa"/>
          </w:tcPr>
          <w:p w14:paraId="633AAF82" w14:textId="284ADDA2" w:rsidR="00046505" w:rsidRPr="00046505" w:rsidRDefault="00691AB5" w:rsidP="00046505">
            <w:pPr>
              <w:overflowPunct w:val="0"/>
              <w:autoSpaceDE w:val="0"/>
              <w:autoSpaceDN w:val="0"/>
              <w:adjustRightInd w:val="0"/>
              <w:textAlignment w:val="baseline"/>
              <w:rPr>
                <w:rFonts w:ascii="Calibri" w:hAnsi="Calibri" w:cs="Calibri"/>
                <w:bCs w:val="0"/>
                <w:color w:val="000000"/>
                <w:spacing w:val="-5"/>
                <w:sz w:val="22"/>
                <w:szCs w:val="22"/>
              </w:rPr>
            </w:pPr>
            <w:r>
              <w:rPr>
                <w:rFonts w:ascii="Calibri" w:hAnsi="Calibri" w:cs="Calibri"/>
                <w:bCs w:val="0"/>
                <w:color w:val="000000"/>
                <w:spacing w:val="-5"/>
                <w:sz w:val="22"/>
                <w:szCs w:val="22"/>
              </w:rPr>
              <w:t>MB</w:t>
            </w:r>
          </w:p>
        </w:tc>
      </w:tr>
    </w:tbl>
    <w:p w14:paraId="78094FED" w14:textId="77777777" w:rsidR="00BD4929" w:rsidRDefault="00BD4929" w:rsidP="00AB4DB2">
      <w:pPr>
        <w:pStyle w:val="Heading6"/>
      </w:pPr>
    </w:p>
    <w:sectPr w:rsidR="00BD4929" w:rsidSect="005B5571">
      <w:footerReference w:type="default" r:id="rId7"/>
      <w:pgSz w:w="11906" w:h="16838" w:code="9"/>
      <w:pgMar w:top="1440" w:right="1080" w:bottom="1440"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18B9" w14:textId="77777777" w:rsidR="00A5440A" w:rsidRDefault="00A5440A">
      <w:r>
        <w:separator/>
      </w:r>
    </w:p>
  </w:endnote>
  <w:endnote w:type="continuationSeparator" w:id="0">
    <w:p w14:paraId="247643BE" w14:textId="77777777" w:rsidR="00A5440A" w:rsidRDefault="00A5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A0CD" w14:textId="61DCD117" w:rsidR="00BD4929" w:rsidRPr="00A426DD" w:rsidRDefault="00691AB5" w:rsidP="00A426DD">
    <w:pPr>
      <w:pStyle w:val="Footer"/>
      <w:rPr>
        <w:sz w:val="16"/>
        <w:szCs w:val="16"/>
        <w:lang w:val="en-US"/>
      </w:rPr>
    </w:pPr>
    <w:r>
      <w:rPr>
        <w:sz w:val="16"/>
        <w:szCs w:val="16"/>
        <w:lang w:val="en-US"/>
      </w:rPr>
      <w:t>Sohbet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60F6" w14:textId="77777777" w:rsidR="00A5440A" w:rsidRDefault="00A5440A">
      <w:r>
        <w:separator/>
      </w:r>
    </w:p>
  </w:footnote>
  <w:footnote w:type="continuationSeparator" w:id="0">
    <w:p w14:paraId="7797B5E3" w14:textId="77777777" w:rsidR="00A5440A" w:rsidRDefault="00A54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DFB"/>
    <w:rsid w:val="00046505"/>
    <w:rsid w:val="000E549D"/>
    <w:rsid w:val="001654F2"/>
    <w:rsid w:val="00380349"/>
    <w:rsid w:val="00472A2C"/>
    <w:rsid w:val="00482754"/>
    <w:rsid w:val="004976AA"/>
    <w:rsid w:val="004C4790"/>
    <w:rsid w:val="00537FAC"/>
    <w:rsid w:val="005A2883"/>
    <w:rsid w:val="005B5571"/>
    <w:rsid w:val="00672D94"/>
    <w:rsid w:val="00682AB3"/>
    <w:rsid w:val="00691AB5"/>
    <w:rsid w:val="006A710B"/>
    <w:rsid w:val="006D5FA1"/>
    <w:rsid w:val="007A4FBF"/>
    <w:rsid w:val="00811981"/>
    <w:rsid w:val="00841C5E"/>
    <w:rsid w:val="00962DFB"/>
    <w:rsid w:val="009E1B00"/>
    <w:rsid w:val="00A426DD"/>
    <w:rsid w:val="00A5440A"/>
    <w:rsid w:val="00A809FA"/>
    <w:rsid w:val="00AB4DB2"/>
    <w:rsid w:val="00B07062"/>
    <w:rsid w:val="00B43329"/>
    <w:rsid w:val="00B526F9"/>
    <w:rsid w:val="00B75CDB"/>
    <w:rsid w:val="00BD4929"/>
    <w:rsid w:val="00C94E2D"/>
    <w:rsid w:val="00D348A0"/>
    <w:rsid w:val="00D67D23"/>
    <w:rsid w:val="00D90C35"/>
    <w:rsid w:val="00DD36AE"/>
    <w:rsid w:val="00DD5777"/>
    <w:rsid w:val="00F357F5"/>
    <w:rsid w:val="00F92540"/>
    <w:rsid w:val="00FC3A1C"/>
    <w:rsid w:val="00FF4A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04D0C"/>
  <w15:chartTrackingRefBased/>
  <w15:docId w15:val="{E64ED077-C08A-4B99-AC33-BE8FC68B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sz w:val="24"/>
      <w:lang w:eastAsia="en-US"/>
    </w:rPr>
  </w:style>
  <w:style w:type="paragraph" w:styleId="Heading3">
    <w:name w:val="heading 3"/>
    <w:basedOn w:val="Normal"/>
    <w:next w:val="Normal"/>
    <w:qFormat/>
    <w:pPr>
      <w:keepNext/>
      <w:ind w:right="-694"/>
      <w:outlineLvl w:val="2"/>
    </w:pPr>
    <w:rPr>
      <w:b/>
      <w:bCs w:val="0"/>
    </w:rPr>
  </w:style>
  <w:style w:type="paragraph" w:styleId="Heading6">
    <w:name w:val="heading 6"/>
    <w:basedOn w:val="Normal"/>
    <w:next w:val="Normal"/>
    <w:link w:val="Heading6Char"/>
    <w:unhideWhenUsed/>
    <w:qFormat/>
    <w:rsid w:val="00B07062"/>
    <w:pPr>
      <w:spacing w:before="240" w:after="60"/>
      <w:outlineLvl w:val="5"/>
    </w:pPr>
    <w:rPr>
      <w:rFonts w:ascii="Calibri" w:hAnsi="Calibri"/>
      <w:b/>
      <w:bCs w:val="0"/>
      <w:sz w:val="22"/>
      <w:szCs w:val="22"/>
    </w:rPr>
  </w:style>
  <w:style w:type="paragraph" w:styleId="Heading9">
    <w:name w:val="heading 9"/>
    <w:basedOn w:val="Normal"/>
    <w:next w:val="Normal"/>
    <w:qFormat/>
    <w:pPr>
      <w:keepNext/>
      <w:outlineLvl w:val="8"/>
    </w:pPr>
    <w:rPr>
      <w:rFonts w:ascii="Verdana" w:hAnsi="Verdana"/>
      <w:b/>
      <w:b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customStyle="1" w:styleId="Heading6Char">
    <w:name w:val="Heading 6 Char"/>
    <w:link w:val="Heading6"/>
    <w:rsid w:val="00B07062"/>
    <w:rPr>
      <w:rFonts w:ascii="Calibri" w:eastAsia="Times New Roman" w:hAnsi="Calibri" w:cs="Times New Roman"/>
      <w:b/>
      <w:sz w:val="22"/>
      <w:szCs w:val="22"/>
      <w:lang w:eastAsia="en-US"/>
    </w:rPr>
  </w:style>
  <w:style w:type="character" w:customStyle="1" w:styleId="HeaderChar">
    <w:name w:val="Header Char"/>
    <w:link w:val="Header"/>
    <w:uiPriority w:val="99"/>
    <w:rsid w:val="00AB4DB2"/>
    <w:rPr>
      <w:rFonts w:ascii="Arial" w:hAnsi="Arial"/>
      <w:bCs/>
      <w:sz w:val="24"/>
      <w:lang w:eastAsia="en-US"/>
    </w:rPr>
  </w:style>
  <w:style w:type="character" w:customStyle="1" w:styleId="FooterChar">
    <w:name w:val="Footer Char"/>
    <w:link w:val="Footer"/>
    <w:uiPriority w:val="99"/>
    <w:rsid w:val="00AB4DB2"/>
    <w:rPr>
      <w:rFonts w:ascii="Arial" w:hAnsi="Arial"/>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Colandmaur Enterprises</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Covacic</dc:creator>
  <cp:keywords/>
  <cp:lastModifiedBy>Mustafa Balci</cp:lastModifiedBy>
  <cp:revision>5</cp:revision>
  <dcterms:created xsi:type="dcterms:W3CDTF">2020-03-12T13:56:00Z</dcterms:created>
  <dcterms:modified xsi:type="dcterms:W3CDTF">2022-02-15T14:10:00Z</dcterms:modified>
</cp:coreProperties>
</file>