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A6DD6" w14:textId="77777777" w:rsidR="00022E79" w:rsidRPr="00022E79" w:rsidRDefault="00022E79" w:rsidP="00022E79">
      <w:pPr>
        <w:rPr>
          <w:rFonts w:ascii="Times New Roman" w:eastAsia="Times New Roman" w:hAnsi="Times New Roman" w:cs="Times New Roman"/>
          <w:lang w:eastAsia="fr-FR"/>
        </w:rPr>
      </w:pPr>
      <w:r w:rsidRPr="00022E79">
        <w:rPr>
          <w:rFonts w:ascii="Arial" w:eastAsia="Times New Roman" w:hAnsi="Arial" w:cs="Arial"/>
          <w:color w:val="000000"/>
          <w:sz w:val="22"/>
          <w:szCs w:val="22"/>
          <w:lang w:eastAsia="fr-FR"/>
        </w:rPr>
        <w:t>Le Monde" de ce 17 février</w:t>
      </w:r>
    </w:p>
    <w:p w14:paraId="3236BA81" w14:textId="77777777" w:rsidR="00022E79" w:rsidRDefault="00022E79" w:rsidP="004B1CBD">
      <w:pPr>
        <w:pStyle w:val="xmsonormal"/>
        <w:spacing w:before="0" w:beforeAutospacing="0" w:after="0" w:afterAutospacing="0"/>
        <w:rPr>
          <w:rFonts w:ascii="Arial" w:hAnsi="Arial" w:cs="Arial"/>
          <w:b/>
          <w:bCs/>
          <w:color w:val="000000"/>
          <w:sz w:val="22"/>
          <w:szCs w:val="22"/>
        </w:rPr>
      </w:pPr>
    </w:p>
    <w:p w14:paraId="56EB0B94" w14:textId="77777777" w:rsidR="00022E79" w:rsidRDefault="00022E79" w:rsidP="004B1CBD">
      <w:pPr>
        <w:pStyle w:val="xmsonormal"/>
        <w:spacing w:before="0" w:beforeAutospacing="0" w:after="0" w:afterAutospacing="0"/>
        <w:rPr>
          <w:rFonts w:ascii="Arial" w:hAnsi="Arial" w:cs="Arial"/>
          <w:b/>
          <w:bCs/>
          <w:color w:val="000000"/>
          <w:sz w:val="22"/>
          <w:szCs w:val="22"/>
        </w:rPr>
      </w:pPr>
    </w:p>
    <w:p w14:paraId="3BBE03AF" w14:textId="789DC066"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b/>
          <w:bCs/>
          <w:color w:val="000000"/>
          <w:sz w:val="22"/>
          <w:szCs w:val="22"/>
        </w:rPr>
        <w:t>« Le miracle de la croissance luxembourgeoise a un nom, celui de frontalier »</w:t>
      </w:r>
    </w:p>
    <w:p w14:paraId="03A02B64"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color w:val="000000"/>
          <w:sz w:val="22"/>
          <w:szCs w:val="22"/>
        </w:rPr>
        <w:t>Par Dominique Gros</w:t>
      </w:r>
    </w:p>
    <w:p w14:paraId="32AD5480"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b/>
          <w:bCs/>
          <w:color w:val="000000"/>
          <w:sz w:val="22"/>
          <w:szCs w:val="22"/>
        </w:rPr>
        <w:t>Le Luxembourg conserve chaque année les impôts et taxes prélevés à la source sur les frontaliers qui y travaillent, alors que leur formation et leurs droits sociaux sont à la charge de leur pays de résidence, dénonce, dans une tribune au « Monde », Dominique Gros, président de l’association Au-delà des frontières.</w:t>
      </w:r>
    </w:p>
    <w:p w14:paraId="3E8F7CAE"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b/>
          <w:bCs/>
          <w:color w:val="000000"/>
          <w:sz w:val="22"/>
          <w:szCs w:val="22"/>
        </w:rPr>
        <w:t>Tribune. </w:t>
      </w:r>
      <w:r>
        <w:rPr>
          <w:rFonts w:ascii="Arial" w:hAnsi="Arial" w:cs="Arial"/>
          <w:color w:val="000000"/>
          <w:sz w:val="22"/>
          <w:szCs w:val="22"/>
        </w:rPr>
        <w:t xml:space="preserve">L’enquête </w:t>
      </w:r>
      <w:proofErr w:type="spellStart"/>
      <w:r>
        <w:rPr>
          <w:rFonts w:ascii="Arial" w:hAnsi="Arial" w:cs="Arial"/>
          <w:color w:val="000000"/>
          <w:sz w:val="22"/>
          <w:szCs w:val="22"/>
        </w:rPr>
        <w:t>OpenLux</w:t>
      </w:r>
      <w:proofErr w:type="spellEnd"/>
      <w:r>
        <w:rPr>
          <w:rFonts w:ascii="Arial" w:hAnsi="Arial" w:cs="Arial"/>
          <w:color w:val="000000"/>
          <w:sz w:val="22"/>
          <w:szCs w:val="22"/>
        </w:rPr>
        <w:t xml:space="preserve"> nous permet de comprendre comment l’utilisation opportune des cadres réglementaires européens permet au Luxembourg d’attirer de la richesse au détriment des autres pays.</w:t>
      </w:r>
    </w:p>
    <w:p w14:paraId="21AEF24F"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color w:val="000000"/>
          <w:sz w:val="22"/>
          <w:szCs w:val="22"/>
        </w:rPr>
        <w:t xml:space="preserve">Les débats politiques luxembourgeois rapidement ouverts la veille des premières publications ont été clos tout aussi rapidement dès le lendemain à la Chambre des députés du Luxembourg. Aucun parti ne s’est ému de ces pseudo-révélations, le Luxembourg se conformant aux règlements européens et aux recommandations de l’OCDE, qu’il appliquerait avec beaucoup de rigueur. C’est la jalousie des autres pays européens face à la croissance insolente du Luxembourg qui servirait de carburant à l’initiative </w:t>
      </w:r>
      <w:proofErr w:type="spellStart"/>
      <w:r>
        <w:rPr>
          <w:rFonts w:ascii="Arial" w:hAnsi="Arial" w:cs="Arial"/>
          <w:color w:val="000000"/>
          <w:sz w:val="22"/>
          <w:szCs w:val="22"/>
        </w:rPr>
        <w:t>OpenLux</w:t>
      </w:r>
      <w:proofErr w:type="spellEnd"/>
      <w:r>
        <w:rPr>
          <w:rFonts w:ascii="Arial" w:hAnsi="Arial" w:cs="Arial"/>
          <w:color w:val="000000"/>
          <w:sz w:val="22"/>
          <w:szCs w:val="22"/>
        </w:rPr>
        <w:t>.</w:t>
      </w:r>
    </w:p>
    <w:p w14:paraId="4F928508"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color w:val="000000"/>
          <w:sz w:val="22"/>
          <w:szCs w:val="22"/>
        </w:rPr>
        <w:t>Au cœur de l’Europe, en 2021, et depuis une capitale européenne, il est possible de heurter l’éthique et l’équité, en toute légalité donc, et de le revendiquer. Il ne s’agit d’ailleurs pas d’une position savamment calculée et réfléchie pour la circonstance. C’est une attitude constante du Luxembourg sur tous les enjeux financiers et fiscaux : tout ce qui n’est pas interdit est autorisé.</w:t>
      </w:r>
    </w:p>
    <w:p w14:paraId="430676EC"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color w:val="000000"/>
          <w:sz w:val="22"/>
          <w:szCs w:val="22"/>
        </w:rPr>
        <w:t>Il en va de même au niveau des rapports que le Luxembourg entretient avec les territoires frontaliers qui lui fournissent la moitié de sa main-d’œuvre. Non seulement les richesses produites ne sont pas partagées, mais le Luxembourg ne supporte pas les charges résidentielles correspondantes.</w:t>
      </w:r>
    </w:p>
    <w:p w14:paraId="6A0D0E9A"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color w:val="000000"/>
          <w:sz w:val="22"/>
          <w:szCs w:val="22"/>
        </w:rPr>
        <w:t>D’un côté, le produit des impôts et taxes sur le travail. De l’autre, les charges résidentielles. Et c’est l’une des clés de la prospérité luxembourgeoise. En toute légalité, cela va sans dire.</w:t>
      </w:r>
    </w:p>
    <w:p w14:paraId="11F6261B"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b/>
          <w:bCs/>
          <w:color w:val="000000"/>
          <w:sz w:val="22"/>
          <w:szCs w:val="22"/>
        </w:rPr>
        <w:t>Miracle luxembourgeois</w:t>
      </w:r>
    </w:p>
    <w:p w14:paraId="2B208C76"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color w:val="000000"/>
          <w:sz w:val="22"/>
          <w:szCs w:val="22"/>
        </w:rPr>
        <w:t>Le miracle de la croissance luxembourgeoise a un nom, celui de frontalier. Le marché de l’emploi luxembourgeois, c’est 445 000 emplois occupés par 120 000 Luxembourgeois, 120 000 résidents étrangers et 205 000 frontaliers. Ces 205 000 frontaliers payent leurs impôts à la source au Luxembourg, mais sont pris en charge par leurs pays de résidence, dont la moitié en France. Et il en va de même pour les retraités.</w:t>
      </w:r>
    </w:p>
    <w:p w14:paraId="1AB95C9E"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color w:val="000000"/>
          <w:sz w:val="22"/>
          <w:szCs w:val="22"/>
        </w:rPr>
        <w:t>Depuis plus de vingt ans, des collectivités locales frontalières françaises demandent des compensations fiscales au Luxembourg, sans succès, alors que la France a négocié de tels accords avec, par exemple, la Belgique, l’Allemagne et la Suisse. Mais sans cadre réglementaire et sans contrainte, le Luxembourg s’y refuse.</w:t>
      </w:r>
    </w:p>
    <w:p w14:paraId="5422D364"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color w:val="000000"/>
          <w:sz w:val="22"/>
          <w:szCs w:val="22"/>
        </w:rPr>
        <w:t>C’est bien en toute légalité qu’il conserve les 3,5 milliards d’euros des impôts et taxes prélevés sur les frontaliers pour en réserver le fruit aux seuls résidents luxembourgeois.</w:t>
      </w:r>
    </w:p>
    <w:p w14:paraId="571493CB"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color w:val="000000"/>
          <w:sz w:val="22"/>
          <w:szCs w:val="22"/>
        </w:rPr>
        <w:t xml:space="preserve">Les formations des 325 000 actifs frontaliers et étrangers résidents ont été financées par les </w:t>
      </w:r>
      <w:proofErr w:type="spellStart"/>
      <w:r>
        <w:rPr>
          <w:rFonts w:ascii="Arial" w:hAnsi="Arial" w:cs="Arial"/>
          <w:color w:val="000000"/>
          <w:sz w:val="22"/>
          <w:szCs w:val="22"/>
        </w:rPr>
        <w:t>Etats</w:t>
      </w:r>
      <w:proofErr w:type="spellEnd"/>
      <w:r>
        <w:rPr>
          <w:rFonts w:ascii="Arial" w:hAnsi="Arial" w:cs="Arial"/>
          <w:color w:val="000000"/>
          <w:sz w:val="22"/>
          <w:szCs w:val="22"/>
        </w:rPr>
        <w:t xml:space="preserve"> voisins, pour un coût total de plus de 13 milliards, le Luxembourg n’ayant pris en charge que les 110 000 actifs résidents luxembourgeois.</w:t>
      </w:r>
    </w:p>
    <w:p w14:paraId="4B76C53C"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color w:val="000000"/>
          <w:sz w:val="22"/>
          <w:szCs w:val="22"/>
        </w:rPr>
        <w:t xml:space="preserve">Trois quarts des coûts supportés par les </w:t>
      </w:r>
      <w:proofErr w:type="spellStart"/>
      <w:r>
        <w:rPr>
          <w:rFonts w:ascii="Arial" w:hAnsi="Arial" w:cs="Arial"/>
          <w:color w:val="000000"/>
          <w:sz w:val="22"/>
          <w:szCs w:val="22"/>
        </w:rPr>
        <w:t>Etats</w:t>
      </w:r>
      <w:proofErr w:type="spellEnd"/>
      <w:r>
        <w:rPr>
          <w:rFonts w:ascii="Arial" w:hAnsi="Arial" w:cs="Arial"/>
          <w:color w:val="000000"/>
          <w:sz w:val="22"/>
          <w:szCs w:val="22"/>
        </w:rPr>
        <w:t xml:space="preserve"> voisins, un quart par le Luxembourg. C’est légal. C’est un cadeau de la solidarité européenne. Et les infirmières frontalières manquent cruellement dans les hôpitaux lorrains en cette crise du Covid-19.</w:t>
      </w:r>
    </w:p>
    <w:p w14:paraId="26797D9E"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color w:val="000000"/>
          <w:sz w:val="22"/>
          <w:szCs w:val="22"/>
        </w:rPr>
        <w:t>Les 205 000 frontaliers cotisent au Fonds pour l’emploi du Luxembourg, 115 millions d’euros chaque année, mais quand un frontalier est chômeur depuis plus de trois mois alors il est pris en charge par le système de son pays de résidence sans aucun remboursement du Luxembourg. C’est légal. C’est indécent. C’est toujours ça de gagné.</w:t>
      </w:r>
    </w:p>
    <w:p w14:paraId="1DD4E2AE"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color w:val="000000"/>
          <w:sz w:val="22"/>
          <w:szCs w:val="22"/>
        </w:rPr>
        <w:t>De même, les frontaliers cotisent à un fonds de couverture de la dépendance, qu’ils soient actifs ou retraités, mais sont à la charge de leurs territoires de résidence quand vient l’heure d’être dépendant, sans remboursement du Luxembourg. C’est légal. C’est immoral. Ce n’est pas interdit.</w:t>
      </w:r>
    </w:p>
    <w:p w14:paraId="0B08DD3E"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b/>
          <w:bCs/>
          <w:color w:val="000000"/>
          <w:sz w:val="22"/>
          <w:szCs w:val="22"/>
        </w:rPr>
        <w:lastRenderedPageBreak/>
        <w:t>« Externalités positives »</w:t>
      </w:r>
    </w:p>
    <w:p w14:paraId="6E1C578E"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color w:val="000000"/>
          <w:sz w:val="22"/>
          <w:szCs w:val="22"/>
        </w:rPr>
        <w:t xml:space="preserve">Au total, ce sont 4,4 milliards d’euros d’« externalités positives » qui sont offertes au Luxembourg par les </w:t>
      </w:r>
      <w:proofErr w:type="spellStart"/>
      <w:r>
        <w:rPr>
          <w:rFonts w:ascii="Arial" w:hAnsi="Arial" w:cs="Arial"/>
          <w:color w:val="000000"/>
          <w:sz w:val="22"/>
          <w:szCs w:val="22"/>
        </w:rPr>
        <w:t>Etats</w:t>
      </w:r>
      <w:proofErr w:type="spellEnd"/>
      <w:r>
        <w:rPr>
          <w:rFonts w:ascii="Arial" w:hAnsi="Arial" w:cs="Arial"/>
          <w:color w:val="000000"/>
          <w:sz w:val="22"/>
          <w:szCs w:val="22"/>
        </w:rPr>
        <w:t xml:space="preserve"> voisins, soit 20 % de son budget, dont 2,2 milliards supportés par la France et les communes françaises.</w:t>
      </w:r>
    </w:p>
    <w:p w14:paraId="5057E017"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color w:val="000000"/>
          <w:sz w:val="22"/>
          <w:szCs w:val="22"/>
        </w:rPr>
        <w:t xml:space="preserve">Faut-il s’étonner, dans ces conditions, de constater que le Luxembourg puisse systématiquement fixer des taux de taxes, impôts et charges sur les salaires inférieurs à ceux des pays voisins ? Faut-il s’étonner que l’enquête </w:t>
      </w:r>
      <w:proofErr w:type="spellStart"/>
      <w:r>
        <w:rPr>
          <w:rFonts w:ascii="Arial" w:hAnsi="Arial" w:cs="Arial"/>
          <w:color w:val="000000"/>
          <w:sz w:val="22"/>
          <w:szCs w:val="22"/>
        </w:rPr>
        <w:t>OpenLux</w:t>
      </w:r>
      <w:proofErr w:type="spellEnd"/>
      <w:r>
        <w:rPr>
          <w:rFonts w:ascii="Arial" w:hAnsi="Arial" w:cs="Arial"/>
          <w:color w:val="000000"/>
          <w:sz w:val="22"/>
          <w:szCs w:val="22"/>
        </w:rPr>
        <w:t xml:space="preserve"> révèle qu’il est possible de payer moins d’impôts sur un ensemble de services financiers au Luxembourg ?</w:t>
      </w:r>
    </w:p>
    <w:p w14:paraId="563CB5C9"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color w:val="000000"/>
          <w:sz w:val="22"/>
          <w:szCs w:val="22"/>
        </w:rPr>
        <w:t>La France, la Belgique, l’Allemagne et l’Europe ont dans leurs mains les solutions, car ce sont leurs ressortissants qui font la richesse du Luxembourg et l’absence de partage des charges qui fait sa compétitivité.</w:t>
      </w:r>
    </w:p>
    <w:p w14:paraId="7216BB48"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color w:val="000000"/>
          <w:sz w:val="22"/>
          <w:szCs w:val="22"/>
        </w:rPr>
        <w:t>La République et canton de Genève, qui a besoin de 100 000 frontaliers français – tout comme le Luxembourg –, rétrocède 3,5 % des salaires bruts des frontaliers à leurs communes et départements de résidence depuis 1973. Ce n’est pas obligatoire, mais c’est juste.</w:t>
      </w:r>
    </w:p>
    <w:p w14:paraId="6D1B9C22"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color w:val="000000"/>
          <w:sz w:val="22"/>
          <w:szCs w:val="22"/>
        </w:rPr>
        <w:t>La France, qui lève l’impôt sur les frontaliers français travaillant dans les autres cantons suisses, reverse 4,5 % des salaires bruts des frontaliers à leurs communes de travail depuis 1983. Ce n’est pas obligatoire, mais équitable.</w:t>
      </w:r>
    </w:p>
    <w:p w14:paraId="5741C29B"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color w:val="000000"/>
          <w:sz w:val="22"/>
          <w:szCs w:val="22"/>
        </w:rPr>
        <w:t xml:space="preserve">La France ne peut pas s’étonner des révélations des enquêtes </w:t>
      </w:r>
      <w:proofErr w:type="spellStart"/>
      <w:r>
        <w:rPr>
          <w:rFonts w:ascii="Arial" w:hAnsi="Arial" w:cs="Arial"/>
          <w:color w:val="000000"/>
          <w:sz w:val="22"/>
          <w:szCs w:val="22"/>
        </w:rPr>
        <w:t>OpenLux</w:t>
      </w:r>
      <w:proofErr w:type="spellEnd"/>
      <w:r>
        <w:rPr>
          <w:rFonts w:ascii="Arial" w:hAnsi="Arial" w:cs="Arial"/>
          <w:color w:val="000000"/>
          <w:sz w:val="22"/>
          <w:szCs w:val="22"/>
        </w:rPr>
        <w:t>. Elle ferme les yeux depuis longtemps.</w:t>
      </w:r>
    </w:p>
    <w:p w14:paraId="10D390B3" w14:textId="77777777" w:rsidR="004B1CBD" w:rsidRDefault="004B1CBD" w:rsidP="004B1CBD">
      <w:pPr>
        <w:pStyle w:val="xmsonormal"/>
        <w:spacing w:before="0" w:beforeAutospacing="0" w:after="0" w:afterAutospacing="0"/>
        <w:rPr>
          <w:rFonts w:ascii="Calibri" w:hAnsi="Calibri" w:cs="Calibri"/>
          <w:color w:val="000000"/>
          <w:sz w:val="22"/>
          <w:szCs w:val="22"/>
        </w:rPr>
      </w:pPr>
    </w:p>
    <w:p w14:paraId="1F62D515"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color w:val="000000"/>
          <w:sz w:val="22"/>
          <w:szCs w:val="22"/>
        </w:rPr>
        <w:t>Dominique Gros, </w:t>
      </w:r>
    </w:p>
    <w:p w14:paraId="2D9546FE" w14:textId="77777777" w:rsidR="004B1CBD" w:rsidRDefault="004B1CBD" w:rsidP="004B1CBD">
      <w:pPr>
        <w:pStyle w:val="xmsonormal"/>
        <w:spacing w:before="0" w:beforeAutospacing="0" w:after="0" w:afterAutospacing="0"/>
        <w:rPr>
          <w:rFonts w:ascii="Calibri" w:hAnsi="Calibri" w:cs="Calibri"/>
          <w:color w:val="000000"/>
          <w:sz w:val="22"/>
          <w:szCs w:val="22"/>
        </w:rPr>
      </w:pPr>
      <w:r>
        <w:rPr>
          <w:rFonts w:ascii="Arial" w:hAnsi="Arial" w:cs="Arial"/>
          <w:color w:val="000000"/>
          <w:sz w:val="22"/>
          <w:szCs w:val="22"/>
        </w:rPr>
        <w:t>Ancien maire de Metz (2008-2020), conseiller départemental de la Moselle, est président de l’association Au-delà des frontières.</w:t>
      </w:r>
    </w:p>
    <w:p w14:paraId="68E0A980" w14:textId="77777777" w:rsidR="004B1CBD" w:rsidRPr="004B1CBD" w:rsidRDefault="004B1CBD" w:rsidP="004B1CBD"/>
    <w:sectPr w:rsidR="004B1CBD" w:rsidRPr="004B1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BD"/>
    <w:rsid w:val="00022E79"/>
    <w:rsid w:val="004B1C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58ED7D4"/>
  <w15:chartTrackingRefBased/>
  <w15:docId w15:val="{6C844E4D-66E1-CD4D-819D-D5A1F9C7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4B1CBD"/>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253333">
      <w:bodyDiv w:val="1"/>
      <w:marLeft w:val="0"/>
      <w:marRight w:val="0"/>
      <w:marTop w:val="0"/>
      <w:marBottom w:val="0"/>
      <w:divBdr>
        <w:top w:val="none" w:sz="0" w:space="0" w:color="auto"/>
        <w:left w:val="none" w:sz="0" w:space="0" w:color="auto"/>
        <w:bottom w:val="none" w:sz="0" w:space="0" w:color="auto"/>
        <w:right w:val="none" w:sz="0" w:space="0" w:color="auto"/>
      </w:divBdr>
      <w:divsChild>
        <w:div w:id="911693566">
          <w:marLeft w:val="0"/>
          <w:marRight w:val="0"/>
          <w:marTop w:val="0"/>
          <w:marBottom w:val="0"/>
          <w:divBdr>
            <w:top w:val="none" w:sz="0" w:space="0" w:color="auto"/>
            <w:left w:val="none" w:sz="0" w:space="0" w:color="auto"/>
            <w:bottom w:val="none" w:sz="0" w:space="0" w:color="auto"/>
            <w:right w:val="none" w:sz="0" w:space="0" w:color="auto"/>
          </w:divBdr>
        </w:div>
        <w:div w:id="5790503">
          <w:marLeft w:val="0"/>
          <w:marRight w:val="0"/>
          <w:marTop w:val="0"/>
          <w:marBottom w:val="0"/>
          <w:divBdr>
            <w:top w:val="none" w:sz="0" w:space="0" w:color="auto"/>
            <w:left w:val="none" w:sz="0" w:space="0" w:color="auto"/>
            <w:bottom w:val="none" w:sz="0" w:space="0" w:color="auto"/>
            <w:right w:val="none" w:sz="0" w:space="0" w:color="auto"/>
          </w:divBdr>
        </w:div>
        <w:div w:id="99448888">
          <w:marLeft w:val="0"/>
          <w:marRight w:val="0"/>
          <w:marTop w:val="0"/>
          <w:marBottom w:val="0"/>
          <w:divBdr>
            <w:top w:val="none" w:sz="0" w:space="0" w:color="auto"/>
            <w:left w:val="none" w:sz="0" w:space="0" w:color="auto"/>
            <w:bottom w:val="none" w:sz="0" w:space="0" w:color="auto"/>
            <w:right w:val="none" w:sz="0" w:space="0" w:color="auto"/>
          </w:divBdr>
        </w:div>
        <w:div w:id="769855070">
          <w:marLeft w:val="0"/>
          <w:marRight w:val="0"/>
          <w:marTop w:val="0"/>
          <w:marBottom w:val="0"/>
          <w:divBdr>
            <w:top w:val="none" w:sz="0" w:space="0" w:color="auto"/>
            <w:left w:val="none" w:sz="0" w:space="0" w:color="auto"/>
            <w:bottom w:val="none" w:sz="0" w:space="0" w:color="auto"/>
            <w:right w:val="none" w:sz="0" w:space="0" w:color="auto"/>
          </w:divBdr>
        </w:div>
        <w:div w:id="775563569">
          <w:marLeft w:val="0"/>
          <w:marRight w:val="0"/>
          <w:marTop w:val="0"/>
          <w:marBottom w:val="0"/>
          <w:divBdr>
            <w:top w:val="none" w:sz="0" w:space="0" w:color="auto"/>
            <w:left w:val="none" w:sz="0" w:space="0" w:color="auto"/>
            <w:bottom w:val="none" w:sz="0" w:space="0" w:color="auto"/>
            <w:right w:val="none" w:sz="0" w:space="0" w:color="auto"/>
          </w:divBdr>
        </w:div>
        <w:div w:id="1646424979">
          <w:marLeft w:val="0"/>
          <w:marRight w:val="0"/>
          <w:marTop w:val="0"/>
          <w:marBottom w:val="0"/>
          <w:divBdr>
            <w:top w:val="none" w:sz="0" w:space="0" w:color="auto"/>
            <w:left w:val="none" w:sz="0" w:space="0" w:color="auto"/>
            <w:bottom w:val="none" w:sz="0" w:space="0" w:color="auto"/>
            <w:right w:val="none" w:sz="0" w:space="0" w:color="auto"/>
          </w:divBdr>
        </w:div>
        <w:div w:id="1737509668">
          <w:marLeft w:val="0"/>
          <w:marRight w:val="0"/>
          <w:marTop w:val="0"/>
          <w:marBottom w:val="0"/>
          <w:divBdr>
            <w:top w:val="none" w:sz="0" w:space="0" w:color="auto"/>
            <w:left w:val="none" w:sz="0" w:space="0" w:color="auto"/>
            <w:bottom w:val="none" w:sz="0" w:space="0" w:color="auto"/>
            <w:right w:val="none" w:sz="0" w:space="0" w:color="auto"/>
          </w:divBdr>
        </w:div>
        <w:div w:id="1333023168">
          <w:marLeft w:val="0"/>
          <w:marRight w:val="0"/>
          <w:marTop w:val="0"/>
          <w:marBottom w:val="0"/>
          <w:divBdr>
            <w:top w:val="none" w:sz="0" w:space="0" w:color="auto"/>
            <w:left w:val="none" w:sz="0" w:space="0" w:color="auto"/>
            <w:bottom w:val="none" w:sz="0" w:space="0" w:color="auto"/>
            <w:right w:val="none" w:sz="0" w:space="0" w:color="auto"/>
          </w:divBdr>
        </w:div>
        <w:div w:id="1494180490">
          <w:marLeft w:val="0"/>
          <w:marRight w:val="0"/>
          <w:marTop w:val="0"/>
          <w:marBottom w:val="0"/>
          <w:divBdr>
            <w:top w:val="none" w:sz="0" w:space="0" w:color="auto"/>
            <w:left w:val="none" w:sz="0" w:space="0" w:color="auto"/>
            <w:bottom w:val="none" w:sz="0" w:space="0" w:color="auto"/>
            <w:right w:val="none" w:sz="0" w:space="0" w:color="auto"/>
          </w:divBdr>
        </w:div>
        <w:div w:id="1582326681">
          <w:marLeft w:val="0"/>
          <w:marRight w:val="0"/>
          <w:marTop w:val="0"/>
          <w:marBottom w:val="0"/>
          <w:divBdr>
            <w:top w:val="none" w:sz="0" w:space="0" w:color="auto"/>
            <w:left w:val="none" w:sz="0" w:space="0" w:color="auto"/>
            <w:bottom w:val="none" w:sz="0" w:space="0" w:color="auto"/>
            <w:right w:val="none" w:sz="0" w:space="0" w:color="auto"/>
          </w:divBdr>
        </w:div>
        <w:div w:id="2056008281">
          <w:marLeft w:val="0"/>
          <w:marRight w:val="0"/>
          <w:marTop w:val="0"/>
          <w:marBottom w:val="0"/>
          <w:divBdr>
            <w:top w:val="none" w:sz="0" w:space="0" w:color="auto"/>
            <w:left w:val="none" w:sz="0" w:space="0" w:color="auto"/>
            <w:bottom w:val="none" w:sz="0" w:space="0" w:color="auto"/>
            <w:right w:val="none" w:sz="0" w:space="0" w:color="auto"/>
          </w:divBdr>
        </w:div>
        <w:div w:id="385225475">
          <w:marLeft w:val="0"/>
          <w:marRight w:val="0"/>
          <w:marTop w:val="0"/>
          <w:marBottom w:val="0"/>
          <w:divBdr>
            <w:top w:val="none" w:sz="0" w:space="0" w:color="auto"/>
            <w:left w:val="none" w:sz="0" w:space="0" w:color="auto"/>
            <w:bottom w:val="none" w:sz="0" w:space="0" w:color="auto"/>
            <w:right w:val="none" w:sz="0" w:space="0" w:color="auto"/>
          </w:divBdr>
        </w:div>
        <w:div w:id="1420254195">
          <w:marLeft w:val="0"/>
          <w:marRight w:val="0"/>
          <w:marTop w:val="0"/>
          <w:marBottom w:val="0"/>
          <w:divBdr>
            <w:top w:val="none" w:sz="0" w:space="0" w:color="auto"/>
            <w:left w:val="none" w:sz="0" w:space="0" w:color="auto"/>
            <w:bottom w:val="none" w:sz="0" w:space="0" w:color="auto"/>
            <w:right w:val="none" w:sz="0" w:space="0" w:color="auto"/>
          </w:divBdr>
        </w:div>
        <w:div w:id="357781669">
          <w:marLeft w:val="0"/>
          <w:marRight w:val="0"/>
          <w:marTop w:val="0"/>
          <w:marBottom w:val="0"/>
          <w:divBdr>
            <w:top w:val="none" w:sz="0" w:space="0" w:color="auto"/>
            <w:left w:val="none" w:sz="0" w:space="0" w:color="auto"/>
            <w:bottom w:val="none" w:sz="0" w:space="0" w:color="auto"/>
            <w:right w:val="none" w:sz="0" w:space="0" w:color="auto"/>
          </w:divBdr>
        </w:div>
        <w:div w:id="1916011285">
          <w:marLeft w:val="0"/>
          <w:marRight w:val="0"/>
          <w:marTop w:val="0"/>
          <w:marBottom w:val="0"/>
          <w:divBdr>
            <w:top w:val="none" w:sz="0" w:space="0" w:color="auto"/>
            <w:left w:val="none" w:sz="0" w:space="0" w:color="auto"/>
            <w:bottom w:val="none" w:sz="0" w:space="0" w:color="auto"/>
            <w:right w:val="none" w:sz="0" w:space="0" w:color="auto"/>
          </w:divBdr>
        </w:div>
        <w:div w:id="985668458">
          <w:marLeft w:val="0"/>
          <w:marRight w:val="0"/>
          <w:marTop w:val="0"/>
          <w:marBottom w:val="0"/>
          <w:divBdr>
            <w:top w:val="none" w:sz="0" w:space="0" w:color="auto"/>
            <w:left w:val="none" w:sz="0" w:space="0" w:color="auto"/>
            <w:bottom w:val="none" w:sz="0" w:space="0" w:color="auto"/>
            <w:right w:val="none" w:sz="0" w:space="0" w:color="auto"/>
          </w:divBdr>
        </w:div>
        <w:div w:id="967127183">
          <w:marLeft w:val="0"/>
          <w:marRight w:val="0"/>
          <w:marTop w:val="0"/>
          <w:marBottom w:val="0"/>
          <w:divBdr>
            <w:top w:val="none" w:sz="0" w:space="0" w:color="auto"/>
            <w:left w:val="none" w:sz="0" w:space="0" w:color="auto"/>
            <w:bottom w:val="none" w:sz="0" w:space="0" w:color="auto"/>
            <w:right w:val="none" w:sz="0" w:space="0" w:color="auto"/>
          </w:divBdr>
        </w:div>
        <w:div w:id="1722437709">
          <w:marLeft w:val="0"/>
          <w:marRight w:val="0"/>
          <w:marTop w:val="0"/>
          <w:marBottom w:val="0"/>
          <w:divBdr>
            <w:top w:val="none" w:sz="0" w:space="0" w:color="auto"/>
            <w:left w:val="none" w:sz="0" w:space="0" w:color="auto"/>
            <w:bottom w:val="none" w:sz="0" w:space="0" w:color="auto"/>
            <w:right w:val="none" w:sz="0" w:space="0" w:color="auto"/>
          </w:divBdr>
        </w:div>
        <w:div w:id="1219781678">
          <w:marLeft w:val="0"/>
          <w:marRight w:val="0"/>
          <w:marTop w:val="0"/>
          <w:marBottom w:val="0"/>
          <w:divBdr>
            <w:top w:val="none" w:sz="0" w:space="0" w:color="auto"/>
            <w:left w:val="none" w:sz="0" w:space="0" w:color="auto"/>
            <w:bottom w:val="none" w:sz="0" w:space="0" w:color="auto"/>
            <w:right w:val="none" w:sz="0" w:space="0" w:color="auto"/>
          </w:divBdr>
        </w:div>
        <w:div w:id="1492521012">
          <w:marLeft w:val="0"/>
          <w:marRight w:val="0"/>
          <w:marTop w:val="0"/>
          <w:marBottom w:val="0"/>
          <w:divBdr>
            <w:top w:val="none" w:sz="0" w:space="0" w:color="auto"/>
            <w:left w:val="none" w:sz="0" w:space="0" w:color="auto"/>
            <w:bottom w:val="none" w:sz="0" w:space="0" w:color="auto"/>
            <w:right w:val="none" w:sz="0" w:space="0" w:color="auto"/>
          </w:divBdr>
        </w:div>
        <w:div w:id="588391121">
          <w:marLeft w:val="0"/>
          <w:marRight w:val="0"/>
          <w:marTop w:val="0"/>
          <w:marBottom w:val="0"/>
          <w:divBdr>
            <w:top w:val="none" w:sz="0" w:space="0" w:color="auto"/>
            <w:left w:val="none" w:sz="0" w:space="0" w:color="auto"/>
            <w:bottom w:val="none" w:sz="0" w:space="0" w:color="auto"/>
            <w:right w:val="none" w:sz="0" w:space="0" w:color="auto"/>
          </w:divBdr>
        </w:div>
        <w:div w:id="1133645102">
          <w:marLeft w:val="0"/>
          <w:marRight w:val="0"/>
          <w:marTop w:val="0"/>
          <w:marBottom w:val="0"/>
          <w:divBdr>
            <w:top w:val="none" w:sz="0" w:space="0" w:color="auto"/>
            <w:left w:val="none" w:sz="0" w:space="0" w:color="auto"/>
            <w:bottom w:val="none" w:sz="0" w:space="0" w:color="auto"/>
            <w:right w:val="none" w:sz="0" w:space="0" w:color="auto"/>
          </w:divBdr>
        </w:div>
        <w:div w:id="432482293">
          <w:marLeft w:val="0"/>
          <w:marRight w:val="0"/>
          <w:marTop w:val="0"/>
          <w:marBottom w:val="0"/>
          <w:divBdr>
            <w:top w:val="none" w:sz="0" w:space="0" w:color="auto"/>
            <w:left w:val="none" w:sz="0" w:space="0" w:color="auto"/>
            <w:bottom w:val="none" w:sz="0" w:space="0" w:color="auto"/>
            <w:right w:val="none" w:sz="0" w:space="0" w:color="auto"/>
          </w:divBdr>
        </w:div>
        <w:div w:id="1705786122">
          <w:marLeft w:val="0"/>
          <w:marRight w:val="0"/>
          <w:marTop w:val="0"/>
          <w:marBottom w:val="0"/>
          <w:divBdr>
            <w:top w:val="none" w:sz="0" w:space="0" w:color="auto"/>
            <w:left w:val="none" w:sz="0" w:space="0" w:color="auto"/>
            <w:bottom w:val="none" w:sz="0" w:space="0" w:color="auto"/>
            <w:right w:val="none" w:sz="0" w:space="0" w:color="auto"/>
          </w:divBdr>
        </w:div>
      </w:divsChild>
    </w:div>
    <w:div w:id="19316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866</Words>
  <Characters>4765</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2021-02-17T09:55:00Z</dcterms:created>
  <dcterms:modified xsi:type="dcterms:W3CDTF">2021-02-17T09:56:00Z</dcterms:modified>
</cp:coreProperties>
</file>